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6B6C2D" w:rsidRDefault="00011187" w:rsidP="00A84C6B">
      <w:pPr>
        <w:shd w:val="clear" w:color="auto" w:fill="FFFFFF"/>
        <w:spacing w:line="276" w:lineRule="auto"/>
        <w:jc w:val="center"/>
        <w:rPr>
          <w:b/>
          <w:color w:val="auto"/>
          <w:sz w:val="20"/>
          <w:szCs w:val="20"/>
          <w:lang w:val="kk-KZ"/>
        </w:rPr>
      </w:pPr>
      <w:r w:rsidRPr="006B6C2D">
        <w:rPr>
          <w:b/>
          <w:color w:val="auto"/>
          <w:sz w:val="20"/>
          <w:szCs w:val="20"/>
          <w:lang w:val="kk-KZ"/>
        </w:rPr>
        <w:t>Хабарландыру №</w:t>
      </w:r>
      <w:r w:rsidR="00F95DE3" w:rsidRPr="006B6C2D">
        <w:rPr>
          <w:b/>
          <w:color w:val="auto"/>
          <w:sz w:val="20"/>
          <w:szCs w:val="20"/>
          <w:lang w:val="kk-KZ"/>
        </w:rPr>
        <w:t xml:space="preserve"> </w:t>
      </w:r>
      <w:r w:rsidR="00447D4F" w:rsidRPr="006B6C2D">
        <w:rPr>
          <w:b/>
          <w:color w:val="auto"/>
          <w:sz w:val="20"/>
          <w:szCs w:val="20"/>
          <w:lang w:val="kk-KZ"/>
        </w:rPr>
        <w:t>2</w:t>
      </w:r>
      <w:r w:rsidR="00DD5F77" w:rsidRPr="006B6C2D">
        <w:rPr>
          <w:b/>
          <w:color w:val="auto"/>
          <w:sz w:val="20"/>
          <w:szCs w:val="20"/>
          <w:lang w:val="kk-KZ"/>
        </w:rPr>
        <w:t>3</w:t>
      </w:r>
    </w:p>
    <w:p w:rsidR="005A5B8F" w:rsidRPr="006B6C2D" w:rsidRDefault="004F7FE1" w:rsidP="005A5B8F">
      <w:pPr>
        <w:shd w:val="clear" w:color="auto" w:fill="FFFFFF"/>
        <w:spacing w:line="276" w:lineRule="auto"/>
        <w:jc w:val="center"/>
        <w:rPr>
          <w:b/>
          <w:color w:val="auto"/>
          <w:sz w:val="20"/>
          <w:szCs w:val="20"/>
          <w:lang w:val="kk-KZ"/>
        </w:rPr>
      </w:pPr>
      <w:r w:rsidRPr="006B6C2D">
        <w:rPr>
          <w:b/>
          <w:sz w:val="20"/>
          <w:szCs w:val="20"/>
          <w:lang w:val="kk-KZ"/>
        </w:rPr>
        <w:t>«</w:t>
      </w:r>
      <w:r w:rsidR="00011187" w:rsidRPr="006B6C2D">
        <w:rPr>
          <w:b/>
          <w:sz w:val="20"/>
          <w:szCs w:val="20"/>
          <w:lang w:val="kk-KZ"/>
        </w:rPr>
        <w:t>Ақтөбе облысының Денсаулық сақтау басқармасы</w:t>
      </w:r>
      <w:r w:rsidRPr="006B6C2D">
        <w:rPr>
          <w:b/>
          <w:sz w:val="20"/>
          <w:szCs w:val="20"/>
          <w:lang w:val="kk-KZ"/>
        </w:rPr>
        <w:t>»</w:t>
      </w:r>
      <w:r w:rsidR="00011187" w:rsidRPr="006B6C2D">
        <w:rPr>
          <w:b/>
          <w:sz w:val="20"/>
          <w:szCs w:val="20"/>
          <w:lang w:val="kk-KZ"/>
        </w:rPr>
        <w:t xml:space="preserve"> ММ  ШЖҚ </w:t>
      </w:r>
      <w:r w:rsidRPr="006B6C2D">
        <w:rPr>
          <w:b/>
          <w:sz w:val="20"/>
          <w:szCs w:val="20"/>
          <w:lang w:val="kk-KZ"/>
        </w:rPr>
        <w:t>«</w:t>
      </w:r>
      <w:r w:rsidR="00011187" w:rsidRPr="006B6C2D">
        <w:rPr>
          <w:b/>
          <w:sz w:val="20"/>
          <w:szCs w:val="20"/>
          <w:lang w:val="kk-KZ"/>
        </w:rPr>
        <w:t>Көпсалалы облыстық ауруханасы</w:t>
      </w:r>
      <w:r w:rsidRPr="006B6C2D">
        <w:rPr>
          <w:b/>
          <w:sz w:val="20"/>
          <w:szCs w:val="20"/>
          <w:lang w:val="kk-KZ"/>
        </w:rPr>
        <w:t>»</w:t>
      </w:r>
      <w:r w:rsidR="00011187" w:rsidRPr="006B6C2D">
        <w:rPr>
          <w:b/>
          <w:sz w:val="20"/>
          <w:szCs w:val="20"/>
          <w:lang w:val="kk-KZ"/>
        </w:rPr>
        <w:t xml:space="preserve"> МКК  </w:t>
      </w:r>
    </w:p>
    <w:p w:rsidR="00011187" w:rsidRPr="006B6C2D" w:rsidRDefault="005A3152" w:rsidP="00EE5C00">
      <w:pPr>
        <w:shd w:val="clear" w:color="auto" w:fill="FFFFFF"/>
        <w:spacing w:line="276" w:lineRule="auto"/>
        <w:jc w:val="center"/>
        <w:rPr>
          <w:b/>
          <w:color w:val="auto"/>
          <w:sz w:val="20"/>
          <w:szCs w:val="20"/>
          <w:lang w:val="kk-KZ"/>
        </w:rPr>
      </w:pPr>
      <w:r w:rsidRPr="006B6C2D">
        <w:rPr>
          <w:b/>
          <w:color w:val="auto"/>
          <w:sz w:val="20"/>
          <w:szCs w:val="20"/>
          <w:lang w:val="kk-KZ"/>
        </w:rPr>
        <w:t>медициналық бұйымдарды</w:t>
      </w:r>
      <w:r w:rsidR="00B44401" w:rsidRPr="006B6C2D">
        <w:rPr>
          <w:b/>
          <w:color w:val="auto"/>
          <w:sz w:val="20"/>
          <w:szCs w:val="20"/>
          <w:lang w:val="kk-KZ"/>
        </w:rPr>
        <w:t xml:space="preserve"> </w:t>
      </w:r>
      <w:r w:rsidR="001E6408" w:rsidRPr="006B6C2D">
        <w:rPr>
          <w:b/>
          <w:color w:val="auto"/>
          <w:sz w:val="20"/>
          <w:szCs w:val="20"/>
          <w:lang w:val="kk-KZ"/>
        </w:rPr>
        <w:t xml:space="preserve">сатып </w:t>
      </w:r>
      <w:r w:rsidR="006A57CF" w:rsidRPr="006B6C2D">
        <w:rPr>
          <w:b/>
          <w:color w:val="auto"/>
          <w:sz w:val="20"/>
          <w:szCs w:val="20"/>
          <w:lang w:val="kk-KZ"/>
        </w:rPr>
        <w:t xml:space="preserve"> алу</w:t>
      </w:r>
      <w:r w:rsidR="001E6408" w:rsidRPr="006B6C2D">
        <w:rPr>
          <w:b/>
          <w:color w:val="auto"/>
          <w:sz w:val="20"/>
          <w:szCs w:val="20"/>
          <w:lang w:val="kk-KZ"/>
        </w:rPr>
        <w:t xml:space="preserve"> </w:t>
      </w:r>
      <w:r w:rsidR="00CF4C18" w:rsidRPr="006B6C2D">
        <w:rPr>
          <w:b/>
          <w:color w:val="auto"/>
          <w:sz w:val="20"/>
          <w:szCs w:val="20"/>
          <w:lang w:val="kk-KZ"/>
        </w:rPr>
        <w:t xml:space="preserve">үшін </w:t>
      </w:r>
      <w:r w:rsidR="00011187" w:rsidRPr="006B6C2D">
        <w:rPr>
          <w:b/>
          <w:sz w:val="20"/>
          <w:szCs w:val="20"/>
          <w:lang w:val="kk-KZ"/>
        </w:rPr>
        <w:t>бағалы ұсыныстарға сұрату жолымен мемлекеттік сатып алуды өткізуі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CE75C2" w:rsidRPr="00093017" w:rsidRDefault="00011187" w:rsidP="0009301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6B6C2D">
        <w:rPr>
          <w:color w:val="auto"/>
          <w:sz w:val="16"/>
          <w:szCs w:val="16"/>
          <w:lang w:val="en-US"/>
        </w:rPr>
        <w:t>16</w:t>
      </w:r>
      <w:r w:rsidR="002A65E9">
        <w:rPr>
          <w:color w:val="auto"/>
          <w:sz w:val="16"/>
          <w:szCs w:val="16"/>
          <w:lang w:val="kk-KZ"/>
        </w:rPr>
        <w:t>.0</w:t>
      </w:r>
      <w:r w:rsidR="00DD5F77">
        <w:rPr>
          <w:color w:val="auto"/>
          <w:sz w:val="16"/>
          <w:szCs w:val="16"/>
          <w:lang w:val="kk-KZ"/>
        </w:rPr>
        <w:t>5</w:t>
      </w:r>
      <w:r w:rsidR="002A65E9">
        <w:rPr>
          <w:color w:val="auto"/>
          <w:sz w:val="16"/>
          <w:szCs w:val="16"/>
          <w:lang w:val="kk-KZ"/>
        </w:rPr>
        <w:t>.2024</w:t>
      </w:r>
      <w:r w:rsidR="006B6C2D">
        <w:rPr>
          <w:color w:val="auto"/>
          <w:sz w:val="16"/>
          <w:szCs w:val="16"/>
          <w:lang w:val="en-US"/>
        </w:rPr>
        <w:t xml:space="preserve"> </w:t>
      </w:r>
      <w:r>
        <w:rPr>
          <w:color w:val="auto"/>
          <w:sz w:val="16"/>
          <w:szCs w:val="16"/>
          <w:lang w:val="kk-KZ"/>
        </w:rPr>
        <w:t>жыл</w:t>
      </w:r>
    </w:p>
    <w:p w:rsidR="00093017" w:rsidRDefault="00093017" w:rsidP="00CE75C2">
      <w:pPr>
        <w:pStyle w:val="1"/>
        <w:spacing w:before="0" w:beforeAutospacing="0" w:after="0" w:afterAutospacing="0"/>
        <w:ind w:firstLine="708"/>
        <w:jc w:val="both"/>
        <w:textAlignment w:val="baseline"/>
        <w:rPr>
          <w:sz w:val="16"/>
          <w:szCs w:val="18"/>
          <w:lang w:val="kk-KZ"/>
        </w:rPr>
      </w:pPr>
    </w:p>
    <w:p w:rsidR="00CE75C2" w:rsidRDefault="00CE75C2" w:rsidP="00093017">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093017" w:rsidRPr="00093017" w:rsidRDefault="00093017" w:rsidP="00093017">
      <w:pPr>
        <w:pStyle w:val="1"/>
        <w:spacing w:before="0" w:beforeAutospacing="0" w:after="0" w:afterAutospacing="0"/>
        <w:ind w:firstLine="708"/>
        <w:jc w:val="both"/>
        <w:textAlignment w:val="baseline"/>
        <w:rPr>
          <w:b w:val="0"/>
          <w:sz w:val="18"/>
          <w:szCs w:val="16"/>
          <w:lang w:val="kk-KZ"/>
        </w:rPr>
      </w:pP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tblPr>
      <w:tblGrid>
        <w:gridCol w:w="421"/>
        <w:gridCol w:w="1823"/>
        <w:gridCol w:w="1541"/>
        <w:gridCol w:w="2382"/>
        <w:gridCol w:w="780"/>
        <w:gridCol w:w="709"/>
        <w:gridCol w:w="1275"/>
        <w:gridCol w:w="1418"/>
        <w:gridCol w:w="992"/>
        <w:gridCol w:w="851"/>
        <w:gridCol w:w="1417"/>
        <w:gridCol w:w="830"/>
        <w:gridCol w:w="1127"/>
        <w:gridCol w:w="982"/>
        <w:gridCol w:w="982"/>
        <w:gridCol w:w="982"/>
        <w:gridCol w:w="983"/>
        <w:gridCol w:w="982"/>
      </w:tblGrid>
      <w:tr w:rsidR="00463462" w:rsidRPr="006B6C2D" w:rsidTr="00D80051">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823"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r w:rsidRPr="00BC229D">
              <w:rPr>
                <w:b/>
                <w:sz w:val="16"/>
                <w:szCs w:val="16"/>
              </w:rPr>
              <w:t>берушінің</w:t>
            </w:r>
            <w:r w:rsidR="005E46BF" w:rsidRPr="00BC229D">
              <w:rPr>
                <w:b/>
                <w:sz w:val="16"/>
                <w:szCs w:val="16"/>
                <w:lang w:val="kk-KZ"/>
              </w:rPr>
              <w:t xml:space="preserve"> </w:t>
            </w:r>
            <w:proofErr w:type="spellStart"/>
            <w:r w:rsidRPr="00BC229D">
              <w:rPr>
                <w:b/>
                <w:sz w:val="16"/>
                <w:szCs w:val="16"/>
              </w:rPr>
              <w:t>атауы</w:t>
            </w:r>
            <w:proofErr w:type="spellEnd"/>
          </w:p>
        </w:tc>
        <w:tc>
          <w:tcPr>
            <w:tcW w:w="1541"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2382"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78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709"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75"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418"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w:t>
            </w:r>
            <w:proofErr w:type="gramStart"/>
            <w:r w:rsidRPr="00BC229D">
              <w:rPr>
                <w:b/>
                <w:sz w:val="16"/>
                <w:szCs w:val="16"/>
              </w:rPr>
              <w:t>м</w:t>
            </w:r>
            <w:proofErr w:type="gramEnd"/>
            <w:r w:rsidRPr="00BC229D">
              <w:rPr>
                <w:b/>
                <w:sz w:val="16"/>
                <w:szCs w:val="16"/>
              </w:rPr>
              <w:t>і</w:t>
            </w:r>
            <w:proofErr w:type="spellEnd"/>
          </w:p>
        </w:tc>
        <w:tc>
          <w:tcPr>
            <w:tcW w:w="992"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851"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7"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3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1127"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FA602C" w:rsidRPr="00C762F1" w:rsidTr="00D80051">
        <w:trPr>
          <w:gridAfter w:val="5"/>
          <w:wAfter w:w="4911" w:type="dxa"/>
          <w:trHeight w:val="587"/>
        </w:trPr>
        <w:tc>
          <w:tcPr>
            <w:tcW w:w="421" w:type="dxa"/>
            <w:shd w:val="clear" w:color="auto" w:fill="auto"/>
            <w:vAlign w:val="center"/>
          </w:tcPr>
          <w:p w:rsidR="00E53E7E" w:rsidRPr="00BC229D" w:rsidRDefault="00BC229D" w:rsidP="00BC229D">
            <w:pPr>
              <w:jc w:val="center"/>
              <w:rPr>
                <w:bCs/>
                <w:sz w:val="16"/>
                <w:szCs w:val="16"/>
                <w:lang w:val="kk-KZ"/>
              </w:rPr>
            </w:pPr>
            <w:r w:rsidRPr="00BC229D">
              <w:rPr>
                <w:bCs/>
                <w:sz w:val="16"/>
                <w:szCs w:val="16"/>
                <w:lang w:val="kk-KZ"/>
              </w:rPr>
              <w:t>1</w:t>
            </w:r>
          </w:p>
        </w:tc>
        <w:tc>
          <w:tcPr>
            <w:tcW w:w="1823"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541" w:type="dxa"/>
            <w:shd w:val="clear" w:color="auto" w:fill="auto"/>
            <w:vAlign w:val="center"/>
          </w:tcPr>
          <w:p w:rsidR="00E53E7E" w:rsidRPr="004E7AE6" w:rsidRDefault="004E7AE6" w:rsidP="00662DCE">
            <w:pPr>
              <w:rPr>
                <w:sz w:val="16"/>
                <w:szCs w:val="16"/>
                <w:lang w:val="kk-KZ"/>
              </w:rPr>
            </w:pPr>
            <w:r>
              <w:rPr>
                <w:sz w:val="16"/>
                <w:szCs w:val="16"/>
                <w:lang w:val="kk-KZ"/>
              </w:rPr>
              <w:t>Сыворотка против яда гадюки 150МЕ 1,0мл</w:t>
            </w:r>
          </w:p>
        </w:tc>
        <w:tc>
          <w:tcPr>
            <w:tcW w:w="2382" w:type="dxa"/>
            <w:vAlign w:val="center"/>
          </w:tcPr>
          <w:p w:rsidR="00E53E7E" w:rsidRPr="00BC229D" w:rsidRDefault="00282834" w:rsidP="00FC72EB">
            <w:pPr>
              <w:rPr>
                <w:sz w:val="16"/>
                <w:szCs w:val="16"/>
                <w:lang w:val="kk-KZ"/>
              </w:rPr>
            </w:pPr>
            <w:r w:rsidRPr="00282834">
              <w:rPr>
                <w:sz w:val="16"/>
                <w:szCs w:val="16"/>
                <w:lang w:val="kk-KZ"/>
              </w:rPr>
              <w:t>Препарат представляет собой иммуноглобулиновую фракцию сыворотки крови лошадей, иммунизированных ядом гадюки, очищенную и концентрированную методом пептического переваривания и солевого фракционирования, содержащую специфические антитела. Антитела, содержащиеся в сыворотке, нейтрализуют яд гадюки обыкновенной.</w:t>
            </w:r>
          </w:p>
        </w:tc>
        <w:tc>
          <w:tcPr>
            <w:tcW w:w="780" w:type="dxa"/>
            <w:shd w:val="clear" w:color="auto" w:fill="auto"/>
            <w:vAlign w:val="center"/>
          </w:tcPr>
          <w:p w:rsidR="00E53E7E" w:rsidRPr="00BC229D" w:rsidRDefault="004E7AE6" w:rsidP="00662DCE">
            <w:pPr>
              <w:jc w:val="center"/>
              <w:rPr>
                <w:bCs/>
                <w:sz w:val="16"/>
                <w:szCs w:val="16"/>
                <w:lang w:val="kk-KZ"/>
              </w:rPr>
            </w:pPr>
            <w:r>
              <w:rPr>
                <w:bCs/>
                <w:sz w:val="16"/>
                <w:szCs w:val="16"/>
                <w:lang w:val="kk-KZ"/>
              </w:rPr>
              <w:t>амп</w:t>
            </w:r>
          </w:p>
        </w:tc>
        <w:tc>
          <w:tcPr>
            <w:tcW w:w="709" w:type="dxa"/>
            <w:shd w:val="clear" w:color="auto" w:fill="auto"/>
            <w:vAlign w:val="center"/>
          </w:tcPr>
          <w:p w:rsidR="00E53E7E" w:rsidRPr="00BC229D" w:rsidRDefault="004E7AE6" w:rsidP="00BC229D">
            <w:pPr>
              <w:jc w:val="center"/>
              <w:rPr>
                <w:bCs/>
                <w:sz w:val="16"/>
                <w:szCs w:val="16"/>
                <w:lang w:val="kk-KZ"/>
              </w:rPr>
            </w:pPr>
            <w:r>
              <w:rPr>
                <w:bCs/>
                <w:sz w:val="16"/>
                <w:szCs w:val="16"/>
                <w:lang w:val="kk-KZ"/>
              </w:rPr>
              <w:t>5</w:t>
            </w:r>
          </w:p>
        </w:tc>
        <w:tc>
          <w:tcPr>
            <w:tcW w:w="1275" w:type="dxa"/>
            <w:shd w:val="clear" w:color="auto" w:fill="auto"/>
            <w:vAlign w:val="center"/>
          </w:tcPr>
          <w:p w:rsidR="00E53E7E" w:rsidRPr="00BC229D" w:rsidRDefault="00FA602C" w:rsidP="00BC229D">
            <w:pPr>
              <w:jc w:val="center"/>
              <w:rPr>
                <w:sz w:val="16"/>
                <w:szCs w:val="16"/>
                <w:lang w:val="kk-KZ"/>
              </w:rPr>
            </w:pPr>
            <w:r w:rsidRPr="00BC229D">
              <w:rPr>
                <w:sz w:val="16"/>
                <w:szCs w:val="16"/>
                <w:lang w:val="kk-KZ"/>
              </w:rPr>
              <w:t>DDP</w:t>
            </w:r>
          </w:p>
        </w:tc>
        <w:tc>
          <w:tcPr>
            <w:tcW w:w="1418" w:type="dxa"/>
            <w:shd w:val="clear" w:color="auto" w:fill="auto"/>
            <w:vAlign w:val="center"/>
          </w:tcPr>
          <w:p w:rsidR="00E53E7E" w:rsidRPr="00BC229D" w:rsidRDefault="00FA602C" w:rsidP="00BC229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992" w:type="dxa"/>
            <w:vAlign w:val="center"/>
          </w:tcPr>
          <w:p w:rsidR="00E53E7E" w:rsidRPr="00BC229D" w:rsidRDefault="00FA602C" w:rsidP="00BC229D">
            <w:pPr>
              <w:rPr>
                <w:sz w:val="16"/>
                <w:szCs w:val="16"/>
                <w:lang w:val="kk-KZ"/>
              </w:rPr>
            </w:pPr>
            <w:r w:rsidRPr="00BC229D">
              <w:rPr>
                <w:sz w:val="16"/>
                <w:szCs w:val="16"/>
                <w:lang w:val="kk-KZ"/>
              </w:rPr>
              <w:t>Ақтөбе қаласы, Пацаева көшесі 7</w:t>
            </w:r>
          </w:p>
        </w:tc>
        <w:tc>
          <w:tcPr>
            <w:tcW w:w="851" w:type="dxa"/>
            <w:vAlign w:val="center"/>
          </w:tcPr>
          <w:p w:rsidR="00E53E7E" w:rsidRPr="00BC229D" w:rsidRDefault="00FA602C" w:rsidP="00BC229D">
            <w:pPr>
              <w:jc w:val="center"/>
              <w:rPr>
                <w:sz w:val="16"/>
                <w:szCs w:val="16"/>
                <w:lang w:val="kk-KZ"/>
              </w:rPr>
            </w:pPr>
            <w:r w:rsidRPr="00BC229D">
              <w:rPr>
                <w:sz w:val="16"/>
                <w:szCs w:val="16"/>
                <w:lang w:val="kk-KZ"/>
              </w:rPr>
              <w:t>0</w:t>
            </w:r>
          </w:p>
        </w:tc>
        <w:tc>
          <w:tcPr>
            <w:tcW w:w="1417" w:type="dxa"/>
            <w:vAlign w:val="center"/>
          </w:tcPr>
          <w:p w:rsidR="00E53E7E" w:rsidRPr="00BC229D" w:rsidRDefault="00FA602C" w:rsidP="00BC229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30" w:type="dxa"/>
            <w:shd w:val="clear" w:color="auto" w:fill="auto"/>
            <w:vAlign w:val="center"/>
          </w:tcPr>
          <w:p w:rsidR="00E53E7E" w:rsidRPr="00BC229D" w:rsidRDefault="004E7AE6" w:rsidP="00BC229D">
            <w:pPr>
              <w:jc w:val="center"/>
              <w:rPr>
                <w:bCs/>
                <w:sz w:val="16"/>
                <w:szCs w:val="16"/>
                <w:lang w:val="kk-KZ"/>
              </w:rPr>
            </w:pPr>
            <w:r>
              <w:rPr>
                <w:bCs/>
                <w:sz w:val="16"/>
                <w:szCs w:val="16"/>
                <w:lang w:val="kk-KZ"/>
              </w:rPr>
              <w:t>30 000</w:t>
            </w:r>
          </w:p>
        </w:tc>
        <w:tc>
          <w:tcPr>
            <w:tcW w:w="1127" w:type="dxa"/>
            <w:vAlign w:val="center"/>
          </w:tcPr>
          <w:p w:rsidR="00222D9F" w:rsidRPr="00BC229D" w:rsidRDefault="004E7AE6" w:rsidP="00BC229D">
            <w:pPr>
              <w:jc w:val="center"/>
              <w:rPr>
                <w:sz w:val="16"/>
                <w:szCs w:val="16"/>
                <w:lang w:val="kk-KZ"/>
              </w:rPr>
            </w:pPr>
            <w:r>
              <w:rPr>
                <w:sz w:val="16"/>
                <w:szCs w:val="16"/>
                <w:lang w:val="kk-KZ"/>
              </w:rPr>
              <w:t>150 000</w:t>
            </w:r>
          </w:p>
        </w:tc>
      </w:tr>
      <w:tr w:rsidR="00AF0A54" w:rsidRPr="00C347D9" w:rsidTr="00B42AAB">
        <w:trPr>
          <w:trHeight w:val="415"/>
        </w:trPr>
        <w:tc>
          <w:tcPr>
            <w:tcW w:w="3785" w:type="dxa"/>
            <w:gridSpan w:val="3"/>
            <w:shd w:val="clear" w:color="auto" w:fill="auto"/>
            <w:vAlign w:val="center"/>
          </w:tcPr>
          <w:p w:rsidR="00AF0A54" w:rsidRPr="00BC229D" w:rsidRDefault="00AF0A54" w:rsidP="00BC229D">
            <w:pPr>
              <w:jc w:val="center"/>
              <w:rPr>
                <w:sz w:val="16"/>
                <w:szCs w:val="16"/>
                <w:lang w:val="kk-KZ"/>
              </w:rPr>
            </w:pPr>
            <w:r w:rsidRPr="00BC229D">
              <w:rPr>
                <w:b/>
                <w:bCs/>
                <w:sz w:val="16"/>
                <w:szCs w:val="16"/>
                <w:lang w:val="kk-KZ"/>
              </w:rPr>
              <w:t>ИТОГО</w:t>
            </w:r>
          </w:p>
        </w:tc>
        <w:tc>
          <w:tcPr>
            <w:tcW w:w="9824" w:type="dxa"/>
            <w:gridSpan w:val="8"/>
            <w:shd w:val="clear" w:color="auto" w:fill="auto"/>
            <w:vAlign w:val="center"/>
          </w:tcPr>
          <w:p w:rsidR="00AF0A54" w:rsidRPr="00BC229D" w:rsidRDefault="00AF0A54" w:rsidP="00BC229D">
            <w:pPr>
              <w:jc w:val="center"/>
              <w:rPr>
                <w:sz w:val="16"/>
                <w:szCs w:val="16"/>
                <w:lang w:val="kk-KZ"/>
              </w:rPr>
            </w:pPr>
          </w:p>
        </w:tc>
        <w:tc>
          <w:tcPr>
            <w:tcW w:w="1957" w:type="dxa"/>
            <w:gridSpan w:val="2"/>
            <w:shd w:val="clear" w:color="auto" w:fill="auto"/>
            <w:vAlign w:val="center"/>
          </w:tcPr>
          <w:p w:rsidR="00AF0A54" w:rsidRPr="001A342A" w:rsidRDefault="00DD5F77" w:rsidP="00BC229D">
            <w:pPr>
              <w:jc w:val="center"/>
              <w:rPr>
                <w:b/>
                <w:sz w:val="16"/>
                <w:szCs w:val="16"/>
                <w:lang w:val="kk-KZ"/>
              </w:rPr>
            </w:pPr>
            <w:r>
              <w:rPr>
                <w:b/>
                <w:sz w:val="16"/>
                <w:szCs w:val="16"/>
                <w:lang w:val="kk-KZ"/>
              </w:rPr>
              <w:t>150 000</w:t>
            </w:r>
          </w:p>
        </w:tc>
        <w:tc>
          <w:tcPr>
            <w:tcW w:w="982" w:type="dxa"/>
            <w:tcBorders>
              <w:top w:val="nil"/>
              <w:bottom w:val="nil"/>
            </w:tcBorders>
          </w:tcPr>
          <w:p w:rsidR="00AF0A54" w:rsidRPr="00C347D9" w:rsidRDefault="00AF0A54">
            <w:pPr>
              <w:rPr>
                <w:lang w:val="kk-KZ"/>
              </w:rPr>
            </w:pPr>
          </w:p>
        </w:tc>
        <w:tc>
          <w:tcPr>
            <w:tcW w:w="982" w:type="dxa"/>
          </w:tcPr>
          <w:p w:rsidR="00AF0A54" w:rsidRPr="00C347D9" w:rsidRDefault="00AF0A54">
            <w:pPr>
              <w:rPr>
                <w:lang w:val="kk-KZ"/>
              </w:rPr>
            </w:pPr>
          </w:p>
        </w:tc>
        <w:tc>
          <w:tcPr>
            <w:tcW w:w="982" w:type="dxa"/>
          </w:tcPr>
          <w:p w:rsidR="00AF0A54" w:rsidRPr="00C347D9" w:rsidRDefault="00AF0A54">
            <w:pPr>
              <w:rPr>
                <w:lang w:val="kk-KZ"/>
              </w:rPr>
            </w:pPr>
          </w:p>
        </w:tc>
        <w:tc>
          <w:tcPr>
            <w:tcW w:w="983" w:type="dxa"/>
          </w:tcPr>
          <w:p w:rsidR="00AF0A54" w:rsidRPr="00C347D9" w:rsidRDefault="00AF0A54">
            <w:pPr>
              <w:rPr>
                <w:lang w:val="kk-KZ"/>
              </w:rPr>
            </w:pPr>
          </w:p>
        </w:tc>
        <w:tc>
          <w:tcPr>
            <w:tcW w:w="982" w:type="dxa"/>
            <w:vAlign w:val="center"/>
          </w:tcPr>
          <w:p w:rsidR="00AF0A54" w:rsidRPr="00132AEB" w:rsidRDefault="00AF0A54" w:rsidP="003F1CC8">
            <w:pPr>
              <w:jc w:val="center"/>
              <w:rPr>
                <w:sz w:val="16"/>
                <w:szCs w:val="16"/>
                <w:lang w:val="kk-KZ"/>
              </w:rPr>
            </w:pPr>
            <w:r w:rsidRPr="00132AEB">
              <w:rPr>
                <w:sz w:val="16"/>
                <w:szCs w:val="16"/>
                <w:lang w:val="kk-KZ"/>
              </w:rPr>
              <w:t>Ақтөбе қаласы, Пацаева көшесі 7</w:t>
            </w:r>
          </w:p>
        </w:tc>
      </w:tr>
    </w:tbl>
    <w:p w:rsidR="008B722A" w:rsidRDefault="008B722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B42AAB">
        <w:rPr>
          <w:color w:val="auto"/>
          <w:sz w:val="18"/>
          <w:szCs w:val="18"/>
          <w:lang w:val="kk-KZ"/>
        </w:rPr>
        <w:t xml:space="preserve"> мамырдың </w:t>
      </w:r>
      <w:r w:rsidR="00B42AAB" w:rsidRPr="00B42AAB">
        <w:rPr>
          <w:color w:val="auto"/>
          <w:sz w:val="18"/>
          <w:szCs w:val="18"/>
          <w:lang w:val="kk-KZ"/>
        </w:rPr>
        <w:t>23</w:t>
      </w:r>
      <w:r w:rsidR="00553DD0" w:rsidRPr="00AF6026">
        <w:rPr>
          <w:color w:val="auto"/>
          <w:sz w:val="18"/>
          <w:szCs w:val="18"/>
          <w:lang w:val="kk-KZ"/>
        </w:rPr>
        <w:t xml:space="preserve"> </w:t>
      </w:r>
      <w:r w:rsidRPr="00AF6026">
        <w:rPr>
          <w:color w:val="auto"/>
          <w:sz w:val="18"/>
          <w:szCs w:val="18"/>
          <w:lang w:val="kk-KZ"/>
        </w:rPr>
        <w:t>күніне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w:t>
      </w:r>
      <w:r w:rsidR="00B42AAB">
        <w:rPr>
          <w:color w:val="auto"/>
          <w:sz w:val="18"/>
          <w:szCs w:val="18"/>
          <w:lang w:val="kk-KZ"/>
        </w:rPr>
        <w:t xml:space="preserve"> </w:t>
      </w:r>
      <w:bookmarkStart w:id="0" w:name="_GoBack"/>
      <w:bookmarkEnd w:id="0"/>
      <w:r w:rsidR="00B42AAB">
        <w:rPr>
          <w:color w:val="auto"/>
          <w:sz w:val="18"/>
          <w:szCs w:val="18"/>
          <w:lang w:val="kk-KZ"/>
        </w:rPr>
        <w:t xml:space="preserve">мамырдың </w:t>
      </w:r>
      <w:r w:rsidR="00B42AAB" w:rsidRPr="00B42AAB">
        <w:rPr>
          <w:color w:val="auto"/>
          <w:sz w:val="18"/>
          <w:szCs w:val="18"/>
          <w:lang w:val="kk-KZ"/>
        </w:rPr>
        <w:t>23</w:t>
      </w:r>
      <w:r w:rsidR="00B42AAB" w:rsidRPr="00AF6026">
        <w:rPr>
          <w:color w:val="auto"/>
          <w:sz w:val="18"/>
          <w:szCs w:val="18"/>
          <w:lang w:val="kk-KZ"/>
        </w:rPr>
        <w:t xml:space="preserve"> </w:t>
      </w:r>
      <w:r w:rsidRPr="00AF6026">
        <w:rPr>
          <w:color w:val="auto"/>
          <w:sz w:val="18"/>
          <w:szCs w:val="18"/>
          <w:lang w:val="kk-KZ"/>
        </w:rPr>
        <w:t>күніне дейін  келесі мекен-жай бойынша ашылады: Ақтөбе қ., Пацаев к-сі, 7. Конверттерді ашу кезінде әлеуетті жеткізушілер қатысуға болады.</w:t>
      </w:r>
    </w:p>
    <w:p w:rsidR="00F03288" w:rsidRDefault="00011187" w:rsidP="00447D4F">
      <w:pPr>
        <w:shd w:val="clear" w:color="auto" w:fill="FFFFFF"/>
        <w:spacing w:line="276" w:lineRule="auto"/>
        <w:ind w:firstLine="708"/>
        <w:jc w:val="both"/>
        <w:rPr>
          <w:sz w:val="20"/>
          <w:szCs w:val="20"/>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sectPr w:rsidR="00F03288" w:rsidSect="00A84C6B">
      <w:pgSz w:w="16838" w:h="11906" w:orient="landscape"/>
      <w:pgMar w:top="56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compat/>
  <w:rsids>
    <w:rsidRoot w:val="00F82DE6"/>
    <w:rsid w:val="00001FBE"/>
    <w:rsid w:val="00002E3E"/>
    <w:rsid w:val="00003C66"/>
    <w:rsid w:val="000073A3"/>
    <w:rsid w:val="00011187"/>
    <w:rsid w:val="000210EC"/>
    <w:rsid w:val="000263E2"/>
    <w:rsid w:val="000370A2"/>
    <w:rsid w:val="00037CFF"/>
    <w:rsid w:val="00042600"/>
    <w:rsid w:val="00044887"/>
    <w:rsid w:val="00047280"/>
    <w:rsid w:val="000500F8"/>
    <w:rsid w:val="0005132A"/>
    <w:rsid w:val="000573C3"/>
    <w:rsid w:val="000738CB"/>
    <w:rsid w:val="000866D0"/>
    <w:rsid w:val="000866EF"/>
    <w:rsid w:val="00091DB1"/>
    <w:rsid w:val="00093017"/>
    <w:rsid w:val="00095B0F"/>
    <w:rsid w:val="000A3BB9"/>
    <w:rsid w:val="000A5860"/>
    <w:rsid w:val="000A5CEE"/>
    <w:rsid w:val="000B1F57"/>
    <w:rsid w:val="000B37F8"/>
    <w:rsid w:val="000B53A0"/>
    <w:rsid w:val="000C1716"/>
    <w:rsid w:val="000C3CA7"/>
    <w:rsid w:val="000C6304"/>
    <w:rsid w:val="000D3A81"/>
    <w:rsid w:val="000D407F"/>
    <w:rsid w:val="000D7B16"/>
    <w:rsid w:val="000E0872"/>
    <w:rsid w:val="000E2B9E"/>
    <w:rsid w:val="000E518B"/>
    <w:rsid w:val="000F6FDB"/>
    <w:rsid w:val="001069E8"/>
    <w:rsid w:val="00106ABB"/>
    <w:rsid w:val="00106CBB"/>
    <w:rsid w:val="001077E7"/>
    <w:rsid w:val="0011556B"/>
    <w:rsid w:val="00121011"/>
    <w:rsid w:val="001225DB"/>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48B"/>
    <w:rsid w:val="00264E29"/>
    <w:rsid w:val="00265E81"/>
    <w:rsid w:val="00276771"/>
    <w:rsid w:val="00280513"/>
    <w:rsid w:val="00282834"/>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D4F"/>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C7B0E"/>
    <w:rsid w:val="004D2B7A"/>
    <w:rsid w:val="004D450A"/>
    <w:rsid w:val="004D4D34"/>
    <w:rsid w:val="004E0742"/>
    <w:rsid w:val="004E0C23"/>
    <w:rsid w:val="004E21DA"/>
    <w:rsid w:val="004E221F"/>
    <w:rsid w:val="004E7AE6"/>
    <w:rsid w:val="004F1B22"/>
    <w:rsid w:val="004F66EB"/>
    <w:rsid w:val="004F6847"/>
    <w:rsid w:val="004F7FE1"/>
    <w:rsid w:val="00522DD1"/>
    <w:rsid w:val="00523EDE"/>
    <w:rsid w:val="00527485"/>
    <w:rsid w:val="005311E5"/>
    <w:rsid w:val="00535AE4"/>
    <w:rsid w:val="00544935"/>
    <w:rsid w:val="0054748E"/>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95B5F"/>
    <w:rsid w:val="005A3152"/>
    <w:rsid w:val="005A5B8F"/>
    <w:rsid w:val="005A6456"/>
    <w:rsid w:val="005B200C"/>
    <w:rsid w:val="005B28A5"/>
    <w:rsid w:val="005B3462"/>
    <w:rsid w:val="005B4AF7"/>
    <w:rsid w:val="005B5CD3"/>
    <w:rsid w:val="005C2D11"/>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475A4"/>
    <w:rsid w:val="00650E79"/>
    <w:rsid w:val="0065192E"/>
    <w:rsid w:val="0065347E"/>
    <w:rsid w:val="00655B16"/>
    <w:rsid w:val="00661ABF"/>
    <w:rsid w:val="00662DCE"/>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6C2D"/>
    <w:rsid w:val="006B79E0"/>
    <w:rsid w:val="006C14C0"/>
    <w:rsid w:val="006C23CF"/>
    <w:rsid w:val="006C6191"/>
    <w:rsid w:val="006D22A6"/>
    <w:rsid w:val="006D2C31"/>
    <w:rsid w:val="006E24C0"/>
    <w:rsid w:val="006E7328"/>
    <w:rsid w:val="006F0363"/>
    <w:rsid w:val="006F2162"/>
    <w:rsid w:val="006F4081"/>
    <w:rsid w:val="006F413B"/>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7F0BCC"/>
    <w:rsid w:val="0080185B"/>
    <w:rsid w:val="008063C9"/>
    <w:rsid w:val="00807017"/>
    <w:rsid w:val="00812C44"/>
    <w:rsid w:val="00821425"/>
    <w:rsid w:val="0082190D"/>
    <w:rsid w:val="00823FE0"/>
    <w:rsid w:val="008266FD"/>
    <w:rsid w:val="008340F9"/>
    <w:rsid w:val="00840F6A"/>
    <w:rsid w:val="00846C81"/>
    <w:rsid w:val="00846CF5"/>
    <w:rsid w:val="00847EFC"/>
    <w:rsid w:val="0085002E"/>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0C45"/>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30A3F"/>
    <w:rsid w:val="0093268C"/>
    <w:rsid w:val="00937F25"/>
    <w:rsid w:val="00940A25"/>
    <w:rsid w:val="00943A0A"/>
    <w:rsid w:val="00950ADE"/>
    <w:rsid w:val="00955B70"/>
    <w:rsid w:val="00956A88"/>
    <w:rsid w:val="0096382B"/>
    <w:rsid w:val="009670B5"/>
    <w:rsid w:val="00972387"/>
    <w:rsid w:val="00974F74"/>
    <w:rsid w:val="00977B2F"/>
    <w:rsid w:val="00981314"/>
    <w:rsid w:val="00983378"/>
    <w:rsid w:val="009909D1"/>
    <w:rsid w:val="00991145"/>
    <w:rsid w:val="009935AC"/>
    <w:rsid w:val="00993694"/>
    <w:rsid w:val="00995B2B"/>
    <w:rsid w:val="0099723A"/>
    <w:rsid w:val="009B010A"/>
    <w:rsid w:val="009B1DAB"/>
    <w:rsid w:val="009C0F9C"/>
    <w:rsid w:val="009C41AF"/>
    <w:rsid w:val="009C7E97"/>
    <w:rsid w:val="009D1A51"/>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2AAB"/>
    <w:rsid w:val="00B44401"/>
    <w:rsid w:val="00B47216"/>
    <w:rsid w:val="00B53BCE"/>
    <w:rsid w:val="00B54B01"/>
    <w:rsid w:val="00B62256"/>
    <w:rsid w:val="00B66C51"/>
    <w:rsid w:val="00B70127"/>
    <w:rsid w:val="00B7028D"/>
    <w:rsid w:val="00B777B7"/>
    <w:rsid w:val="00B82F76"/>
    <w:rsid w:val="00B90301"/>
    <w:rsid w:val="00B91B8D"/>
    <w:rsid w:val="00B93B60"/>
    <w:rsid w:val="00BA3925"/>
    <w:rsid w:val="00BA3DC4"/>
    <w:rsid w:val="00BA62FF"/>
    <w:rsid w:val="00BA64AC"/>
    <w:rsid w:val="00BB0D8F"/>
    <w:rsid w:val="00BB2E21"/>
    <w:rsid w:val="00BB4E97"/>
    <w:rsid w:val="00BB5A7D"/>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6036A"/>
    <w:rsid w:val="00D613CB"/>
    <w:rsid w:val="00D61E6E"/>
    <w:rsid w:val="00D64284"/>
    <w:rsid w:val="00D67CE1"/>
    <w:rsid w:val="00D71EF5"/>
    <w:rsid w:val="00D77BEB"/>
    <w:rsid w:val="00D80051"/>
    <w:rsid w:val="00D8358E"/>
    <w:rsid w:val="00D85B7C"/>
    <w:rsid w:val="00D92DA7"/>
    <w:rsid w:val="00D9328F"/>
    <w:rsid w:val="00D959A5"/>
    <w:rsid w:val="00DA48D8"/>
    <w:rsid w:val="00DA6125"/>
    <w:rsid w:val="00DA640B"/>
    <w:rsid w:val="00DB6DE3"/>
    <w:rsid w:val="00DC1380"/>
    <w:rsid w:val="00DC225F"/>
    <w:rsid w:val="00DC6F8A"/>
    <w:rsid w:val="00DD4030"/>
    <w:rsid w:val="00DD4294"/>
    <w:rsid w:val="00DD5F77"/>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363B"/>
    <w:rsid w:val="00F55792"/>
    <w:rsid w:val="00F571C9"/>
    <w:rsid w:val="00F57F2A"/>
    <w:rsid w:val="00F57F9D"/>
    <w:rsid w:val="00F642F2"/>
    <w:rsid w:val="00F71AA2"/>
    <w:rsid w:val="00F74006"/>
    <w:rsid w:val="00F75B42"/>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webSettings.xml><?xml version="1.0" encoding="utf-8"?>
<w:webSettings xmlns:r="http://schemas.openxmlformats.org/officeDocument/2006/relationships" xmlns:w="http://schemas.openxmlformats.org/wordprocessingml/2006/main">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5B45-1386-47BB-816D-8DC285AD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2024-04-04T10:19:00Z</cp:lastPrinted>
  <dcterms:created xsi:type="dcterms:W3CDTF">2024-05-15T11:26:00Z</dcterms:created>
  <dcterms:modified xsi:type="dcterms:W3CDTF">2024-05-15T11:34:00Z</dcterms:modified>
</cp:coreProperties>
</file>