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075BA5" w:rsidRDefault="00716FF0" w:rsidP="00716FF0">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CF48FB">
        <w:rPr>
          <w:b/>
          <w:color w:val="auto"/>
          <w:sz w:val="16"/>
          <w:szCs w:val="16"/>
          <w:lang w:val="kk-KZ"/>
        </w:rPr>
        <w:t xml:space="preserve"> №5</w:t>
      </w:r>
    </w:p>
    <w:p w:rsidR="00716FF0" w:rsidRDefault="00716FF0" w:rsidP="00716FF0">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716FF0" w:rsidRPr="00EE5C00" w:rsidRDefault="00716FF0" w:rsidP="00716FF0">
      <w:pPr>
        <w:shd w:val="clear" w:color="auto" w:fill="FFFFFF"/>
        <w:spacing w:line="276" w:lineRule="auto"/>
        <w:jc w:val="center"/>
        <w:rPr>
          <w:b/>
          <w:color w:val="auto"/>
          <w:sz w:val="20"/>
          <w:szCs w:val="20"/>
          <w:lang w:val="kk-KZ"/>
        </w:rPr>
      </w:pPr>
      <w:r>
        <w:rPr>
          <w:b/>
          <w:color w:val="auto"/>
          <w:sz w:val="20"/>
          <w:szCs w:val="20"/>
          <w:lang w:val="kk-KZ"/>
        </w:rPr>
        <w:t xml:space="preserve">медициналық бұйымдарды сатып </w:t>
      </w:r>
      <w:r w:rsidRPr="006A57CF">
        <w:rPr>
          <w:b/>
          <w:color w:val="auto"/>
          <w:sz w:val="20"/>
          <w:szCs w:val="20"/>
          <w:lang w:val="kk-KZ"/>
        </w:rPr>
        <w:t xml:space="preserve"> </w:t>
      </w:r>
      <w:r>
        <w:rPr>
          <w:b/>
          <w:color w:val="auto"/>
          <w:sz w:val="20"/>
          <w:szCs w:val="20"/>
          <w:lang w:val="kk-KZ"/>
        </w:rPr>
        <w:t xml:space="preserve">алу </w:t>
      </w:r>
      <w:r w:rsidRPr="00CF4C18">
        <w:rPr>
          <w:b/>
          <w:color w:val="auto"/>
          <w:sz w:val="20"/>
          <w:szCs w:val="20"/>
          <w:lang w:val="kk-KZ"/>
        </w:rPr>
        <w:t xml:space="preserve">үшін </w:t>
      </w: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мемлекеттік сатып алуды өткізу</w:t>
      </w:r>
      <w:r>
        <w:rPr>
          <w:b/>
          <w:sz w:val="20"/>
          <w:szCs w:val="20"/>
          <w:lang w:val="kk-KZ"/>
        </w:rPr>
        <w:t>і</w:t>
      </w:r>
      <w:r w:rsidRPr="000F0035">
        <w:rPr>
          <w:b/>
          <w:sz w:val="20"/>
          <w:szCs w:val="20"/>
          <w:lang w:val="kk-KZ"/>
        </w:rPr>
        <w:t xml:space="preserve"> туралы хабарлайды</w:t>
      </w:r>
    </w:p>
    <w:p w:rsidR="00716FF0" w:rsidRPr="003B5322" w:rsidRDefault="00716FF0" w:rsidP="00770152">
      <w:pPr>
        <w:shd w:val="clear" w:color="auto" w:fill="FFFFFF"/>
        <w:spacing w:line="276" w:lineRule="auto"/>
        <w:rPr>
          <w:color w:val="auto"/>
          <w:sz w:val="16"/>
          <w:szCs w:val="16"/>
          <w:lang w:val="kk-KZ"/>
        </w:rPr>
      </w:pPr>
      <w:r>
        <w:rPr>
          <w:color w:val="auto"/>
          <w:sz w:val="16"/>
          <w:szCs w:val="16"/>
          <w:lang w:val="kk-KZ"/>
        </w:rPr>
        <w:t xml:space="preserve">Ақтөбе қаласы        </w:t>
      </w:r>
      <w:r w:rsidR="00770152">
        <w:rPr>
          <w:color w:val="auto"/>
          <w:sz w:val="16"/>
          <w:szCs w:val="16"/>
          <w:lang w:val="kk-KZ"/>
        </w:rPr>
        <w:t xml:space="preserve">                                                                                                                                                                                                                                                                                                </w:t>
      </w:r>
      <w:r w:rsidR="00CF48FB">
        <w:rPr>
          <w:color w:val="auto"/>
          <w:sz w:val="16"/>
          <w:szCs w:val="16"/>
          <w:lang w:val="kk-KZ"/>
        </w:rPr>
        <w:t>27</w:t>
      </w:r>
      <w:r w:rsidR="00770152">
        <w:rPr>
          <w:color w:val="auto"/>
          <w:sz w:val="16"/>
          <w:szCs w:val="16"/>
          <w:lang w:val="kk-KZ"/>
        </w:rPr>
        <w:t>.</w:t>
      </w:r>
      <w:r w:rsidR="00CF48FB">
        <w:rPr>
          <w:color w:val="auto"/>
          <w:sz w:val="16"/>
          <w:szCs w:val="16"/>
          <w:lang w:val="kk-KZ"/>
        </w:rPr>
        <w:t>12.2024</w:t>
      </w:r>
      <w:r w:rsidR="00770152">
        <w:rPr>
          <w:color w:val="auto"/>
          <w:sz w:val="16"/>
          <w:szCs w:val="16"/>
          <w:lang w:val="kk-KZ"/>
        </w:rPr>
        <w:t>ж</w:t>
      </w:r>
      <w:r>
        <w:rPr>
          <w:color w:val="auto"/>
          <w:sz w:val="16"/>
          <w:szCs w:val="16"/>
          <w:lang w:val="kk-KZ"/>
        </w:rPr>
        <w:t xml:space="preserve">                                                                                                                                                                                                                                                                         </w:t>
      </w:r>
    </w:p>
    <w:p w:rsidR="00716FF0" w:rsidRPr="0022026D" w:rsidRDefault="00716FF0" w:rsidP="00716FF0">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Pr="0022026D">
        <w:rPr>
          <w:spacing w:val="2"/>
          <w:sz w:val="16"/>
          <w:szCs w:val="18"/>
          <w:lang w:val="kk-KZ"/>
        </w:rPr>
        <w:t>Қазақстан Республикасы Денсаулық сақтау министрінің 2023 жылғы 7 маусымдағы № 110 бұйрығына</w:t>
      </w:r>
      <w:r w:rsidRPr="0022026D">
        <w:rPr>
          <w:sz w:val="16"/>
          <w:szCs w:val="18"/>
          <w:lang w:val="kk-KZ"/>
        </w:rPr>
        <w:t xml:space="preserve"> сәйкес </w:t>
      </w:r>
      <w:r w:rsidRPr="0022026D">
        <w:rPr>
          <w:b w:val="0"/>
          <w:sz w:val="16"/>
          <w:szCs w:val="18"/>
          <w:lang w:val="kk-KZ"/>
        </w:rPr>
        <w:t>"</w:t>
      </w:r>
      <w:r w:rsidRPr="0022026D">
        <w:rPr>
          <w:b w:val="0"/>
          <w:bCs w:val="0"/>
          <w:sz w:val="16"/>
          <w:szCs w:val="18"/>
          <w:lang w:val="kk-KZ"/>
        </w:rPr>
        <w:t xml:space="preserve"> </w:t>
      </w:r>
      <w:r w:rsidRPr="0022026D">
        <w:rPr>
          <w:b w:val="0"/>
          <w:color w:val="000000"/>
          <w:sz w:val="18"/>
          <w:szCs w:val="20"/>
          <w:shd w:val="clear" w:color="auto" w:fill="FFFFFF"/>
          <w:lang w:val="kk-KZ"/>
        </w:rPr>
        <w:t>Тегін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кепілдік берілген көлемі,</w:t>
      </w:r>
      <w:r w:rsidRPr="0022026D">
        <w:rPr>
          <w:b w:val="0"/>
          <w:color w:val="000000"/>
          <w:sz w:val="18"/>
          <w:szCs w:val="20"/>
          <w:lang w:val="kk-KZ"/>
        </w:rPr>
        <w:t xml:space="preserve"> </w:t>
      </w:r>
      <w:r w:rsidRPr="0022026D">
        <w:rPr>
          <w:b w:val="0"/>
          <w:color w:val="000000"/>
          <w:sz w:val="18"/>
          <w:szCs w:val="20"/>
          <w:shd w:val="clear" w:color="auto" w:fill="FFFFFF"/>
          <w:lang w:val="kk-KZ"/>
        </w:rPr>
        <w:t>қылмыстық-атқару</w:t>
      </w:r>
      <w:r w:rsidRPr="0022026D">
        <w:rPr>
          <w:b w:val="0"/>
          <w:color w:val="000000"/>
          <w:sz w:val="18"/>
          <w:szCs w:val="20"/>
          <w:lang w:val="kk-KZ"/>
        </w:rPr>
        <w:br/>
      </w:r>
      <w:r w:rsidRPr="0022026D">
        <w:rPr>
          <w:b w:val="0"/>
          <w:color w:val="000000"/>
          <w:sz w:val="18"/>
          <w:szCs w:val="20"/>
          <w:shd w:val="clear" w:color="auto" w:fill="FFFFFF"/>
          <w:lang w:val="kk-KZ"/>
        </w:rPr>
        <w:t>(пенитенциарлық) жүйесінің</w:t>
      </w:r>
      <w:r w:rsidRPr="0022026D">
        <w:rPr>
          <w:b w:val="0"/>
          <w:color w:val="000000"/>
          <w:sz w:val="18"/>
          <w:szCs w:val="20"/>
          <w:lang w:val="kk-KZ"/>
        </w:rPr>
        <w:t xml:space="preserve"> </w:t>
      </w:r>
      <w:r w:rsidRPr="0022026D">
        <w:rPr>
          <w:b w:val="0"/>
          <w:color w:val="000000"/>
          <w:sz w:val="18"/>
          <w:szCs w:val="20"/>
          <w:shd w:val="clear" w:color="auto" w:fill="FFFFFF"/>
          <w:lang w:val="kk-KZ"/>
        </w:rPr>
        <w:t>тергеу изоляторлары мен</w:t>
      </w:r>
      <w:r w:rsidRPr="0022026D">
        <w:rPr>
          <w:b w:val="0"/>
          <w:color w:val="000000"/>
          <w:sz w:val="18"/>
          <w:szCs w:val="20"/>
          <w:lang w:val="kk-KZ"/>
        </w:rPr>
        <w:t xml:space="preserve"> </w:t>
      </w:r>
      <w:r w:rsidRPr="0022026D">
        <w:rPr>
          <w:b w:val="0"/>
          <w:color w:val="000000"/>
          <w:sz w:val="18"/>
          <w:szCs w:val="20"/>
          <w:shd w:val="clear" w:color="auto" w:fill="FFFFFF"/>
          <w:lang w:val="kk-KZ"/>
        </w:rPr>
        <w:t>мекемелерінде ұсталатын</w:t>
      </w:r>
      <w:r w:rsidRPr="0022026D">
        <w:rPr>
          <w:b w:val="0"/>
          <w:color w:val="000000"/>
          <w:sz w:val="18"/>
          <w:szCs w:val="20"/>
          <w:lang w:val="kk-KZ"/>
        </w:rPr>
        <w:t xml:space="preserve"> </w:t>
      </w:r>
      <w:r w:rsidRPr="0022026D">
        <w:rPr>
          <w:b w:val="0"/>
          <w:color w:val="000000"/>
          <w:sz w:val="18"/>
          <w:szCs w:val="20"/>
          <w:shd w:val="clear" w:color="auto" w:fill="FFFFFF"/>
          <w:lang w:val="kk-KZ"/>
        </w:rPr>
        <w:t>адамдарға бюджет қаражаты</w:t>
      </w:r>
      <w:r w:rsidRPr="0022026D">
        <w:rPr>
          <w:b w:val="0"/>
          <w:color w:val="000000"/>
          <w:sz w:val="18"/>
          <w:szCs w:val="20"/>
          <w:lang w:val="kk-KZ"/>
        </w:rPr>
        <w:t xml:space="preserve"> </w:t>
      </w:r>
      <w:r w:rsidRPr="0022026D">
        <w:rPr>
          <w:b w:val="0"/>
          <w:color w:val="000000"/>
          <w:sz w:val="18"/>
          <w:szCs w:val="20"/>
          <w:shd w:val="clear" w:color="auto" w:fill="FFFFFF"/>
          <w:lang w:val="kk-KZ"/>
        </w:rPr>
        <w:t>есебінен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қосымша көлемі шеңберінде</w:t>
      </w:r>
      <w:r w:rsidRPr="0022026D">
        <w:rPr>
          <w:b w:val="0"/>
          <w:color w:val="000000"/>
          <w:sz w:val="18"/>
          <w:szCs w:val="20"/>
          <w:lang w:val="kk-KZ"/>
        </w:rPr>
        <w:t xml:space="preserve"> </w:t>
      </w:r>
      <w:r w:rsidRPr="0022026D">
        <w:rPr>
          <w:b w:val="0"/>
          <w:color w:val="000000"/>
          <w:sz w:val="18"/>
          <w:szCs w:val="20"/>
          <w:shd w:val="clear" w:color="auto" w:fill="FFFFFF"/>
          <w:lang w:val="kk-KZ"/>
        </w:rPr>
        <w:t>және (немесе) міндетті</w:t>
      </w:r>
      <w:r w:rsidRPr="0022026D">
        <w:rPr>
          <w:b w:val="0"/>
          <w:color w:val="000000"/>
          <w:sz w:val="18"/>
          <w:szCs w:val="20"/>
          <w:lang w:val="kk-KZ"/>
        </w:rPr>
        <w:t xml:space="preserve"> </w:t>
      </w:r>
      <w:r w:rsidRPr="0022026D">
        <w:rPr>
          <w:b w:val="0"/>
          <w:color w:val="000000"/>
          <w:sz w:val="18"/>
          <w:szCs w:val="20"/>
          <w:shd w:val="clear" w:color="auto" w:fill="FFFFFF"/>
          <w:lang w:val="kk-KZ"/>
        </w:rPr>
        <w:t>әлеуметтік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сақтандыру жүйесінде дәрілік</w:t>
      </w:r>
      <w:r w:rsidRPr="0022026D">
        <w:rPr>
          <w:b w:val="0"/>
          <w:color w:val="000000"/>
          <w:sz w:val="18"/>
          <w:szCs w:val="20"/>
          <w:lang w:val="kk-KZ"/>
        </w:rPr>
        <w:t xml:space="preserve"> </w:t>
      </w:r>
      <w:r w:rsidRPr="0022026D">
        <w:rPr>
          <w:b w:val="0"/>
          <w:color w:val="000000"/>
          <w:sz w:val="18"/>
          <w:szCs w:val="20"/>
          <w:shd w:val="clear" w:color="auto" w:fill="FFFFFF"/>
          <w:lang w:val="kk-KZ"/>
        </w:rPr>
        <w:t>заттарды,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бұйымдарды және арнайы емдік</w:t>
      </w:r>
      <w:r w:rsidRPr="0022026D">
        <w:rPr>
          <w:b w:val="0"/>
          <w:color w:val="000000"/>
          <w:sz w:val="18"/>
          <w:szCs w:val="20"/>
          <w:lang w:val="kk-KZ"/>
        </w:rPr>
        <w:t xml:space="preserve"> </w:t>
      </w:r>
      <w:r w:rsidRPr="0022026D">
        <w:rPr>
          <w:b w:val="0"/>
          <w:color w:val="000000"/>
          <w:sz w:val="18"/>
          <w:szCs w:val="20"/>
          <w:shd w:val="clear" w:color="auto" w:fill="FFFFFF"/>
          <w:lang w:val="kk-KZ"/>
        </w:rPr>
        <w:t>өнімдерді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фармацевтикалық көрсетілетін</w:t>
      </w:r>
      <w:r w:rsidRPr="0022026D">
        <w:rPr>
          <w:b w:val="0"/>
          <w:color w:val="000000"/>
          <w:sz w:val="18"/>
          <w:szCs w:val="20"/>
          <w:lang w:val="kk-KZ"/>
        </w:rPr>
        <w:t xml:space="preserve"> </w:t>
      </w:r>
      <w:r w:rsidRPr="0022026D">
        <w:rPr>
          <w:b w:val="0"/>
          <w:color w:val="000000"/>
          <w:sz w:val="18"/>
          <w:szCs w:val="20"/>
          <w:shd w:val="clear" w:color="auto" w:fill="FFFFFF"/>
          <w:lang w:val="kk-KZ"/>
        </w:rPr>
        <w:t>қызметтерді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ұйымдастыру және өткізу</w:t>
      </w:r>
      <w:r w:rsidRPr="0022026D">
        <w:rPr>
          <w:b w:val="0"/>
          <w:color w:val="000000"/>
          <w:sz w:val="18"/>
          <w:szCs w:val="20"/>
          <w:lang w:val="kk-KZ"/>
        </w:rPr>
        <w:t xml:space="preserve"> </w:t>
      </w:r>
      <w:r w:rsidRPr="0022026D">
        <w:rPr>
          <w:b w:val="0"/>
          <w:color w:val="000000"/>
          <w:sz w:val="18"/>
          <w:szCs w:val="20"/>
          <w:shd w:val="clear" w:color="auto" w:fill="FFFFFF"/>
          <w:lang w:val="kk-KZ"/>
        </w:rPr>
        <w:t>қағидаларына</w:t>
      </w:r>
      <w:r w:rsidRPr="0022026D">
        <w:rPr>
          <w:b w:val="0"/>
          <w:color w:val="000000"/>
          <w:sz w:val="18"/>
          <w:szCs w:val="20"/>
          <w:lang w:val="kk-KZ"/>
        </w:rPr>
        <w:t xml:space="preserve"> </w:t>
      </w:r>
      <w:r w:rsidRPr="0022026D">
        <w:rPr>
          <w:b w:val="0"/>
          <w:color w:val="000000"/>
          <w:sz w:val="18"/>
          <w:szCs w:val="20"/>
          <w:shd w:val="clear" w:color="auto" w:fill="FFFFFF"/>
          <w:lang w:val="kk-KZ"/>
        </w:rPr>
        <w:t>5-қосымша</w:t>
      </w:r>
      <w:r w:rsidRPr="0022026D">
        <w:rPr>
          <w:b w:val="0"/>
          <w:sz w:val="14"/>
          <w:szCs w:val="16"/>
          <w:lang w:val="kk-KZ"/>
        </w:rPr>
        <w:t xml:space="preserve"> </w:t>
      </w:r>
      <w:r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90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419"/>
        <w:gridCol w:w="1275"/>
        <w:gridCol w:w="4111"/>
        <w:gridCol w:w="709"/>
        <w:gridCol w:w="709"/>
        <w:gridCol w:w="992"/>
        <w:gridCol w:w="1134"/>
        <w:gridCol w:w="1276"/>
        <w:gridCol w:w="1134"/>
        <w:gridCol w:w="992"/>
        <w:gridCol w:w="709"/>
        <w:gridCol w:w="1417"/>
        <w:gridCol w:w="671"/>
        <w:gridCol w:w="982"/>
        <w:gridCol w:w="982"/>
        <w:gridCol w:w="983"/>
        <w:gridCol w:w="982"/>
      </w:tblGrid>
      <w:tr w:rsidR="0092000E" w:rsidRPr="00EF2384" w:rsidTr="0092000E">
        <w:trPr>
          <w:gridAfter w:val="5"/>
          <w:wAfter w:w="4600" w:type="dxa"/>
          <w:trHeight w:val="587"/>
        </w:trPr>
        <w:tc>
          <w:tcPr>
            <w:tcW w:w="425" w:type="dxa"/>
            <w:shd w:val="clear" w:color="auto" w:fill="auto"/>
            <w:vAlign w:val="center"/>
          </w:tcPr>
          <w:p w:rsidR="00EF2384" w:rsidRPr="003408AC" w:rsidRDefault="00EF2384" w:rsidP="00327BC7">
            <w:pPr>
              <w:jc w:val="center"/>
              <w:rPr>
                <w:b/>
                <w:bCs/>
                <w:sz w:val="14"/>
                <w:szCs w:val="14"/>
              </w:rPr>
            </w:pPr>
            <w:r w:rsidRPr="003408AC">
              <w:rPr>
                <w:b/>
                <w:bCs/>
                <w:sz w:val="14"/>
                <w:szCs w:val="14"/>
              </w:rPr>
              <w:t>№ лота</w:t>
            </w:r>
          </w:p>
        </w:tc>
        <w:tc>
          <w:tcPr>
            <w:tcW w:w="1419" w:type="dxa"/>
            <w:vAlign w:val="center"/>
          </w:tcPr>
          <w:p w:rsidR="00EF2384" w:rsidRPr="003408AC" w:rsidRDefault="00EF2384" w:rsidP="00327BC7">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275" w:type="dxa"/>
            <w:shd w:val="clear" w:color="auto" w:fill="auto"/>
            <w:vAlign w:val="center"/>
          </w:tcPr>
          <w:p w:rsidR="00EF2384" w:rsidRPr="003408AC" w:rsidRDefault="00EF2384" w:rsidP="00327BC7">
            <w:pPr>
              <w:jc w:val="center"/>
              <w:rPr>
                <w:b/>
                <w:bCs/>
                <w:sz w:val="14"/>
                <w:szCs w:val="14"/>
                <w:lang w:val="kk-KZ"/>
              </w:rPr>
            </w:pPr>
            <w:r w:rsidRPr="003408AC">
              <w:rPr>
                <w:b/>
                <w:bCs/>
                <w:sz w:val="14"/>
                <w:szCs w:val="14"/>
                <w:lang w:val="kk-KZ"/>
              </w:rPr>
              <w:t>Тауардың атауы</w:t>
            </w:r>
          </w:p>
        </w:tc>
        <w:tc>
          <w:tcPr>
            <w:tcW w:w="4111" w:type="dxa"/>
          </w:tcPr>
          <w:p w:rsidR="00EF2384" w:rsidRPr="003408AC" w:rsidRDefault="00EF2384" w:rsidP="00327BC7">
            <w:pPr>
              <w:jc w:val="center"/>
              <w:rPr>
                <w:b/>
                <w:bCs/>
                <w:sz w:val="14"/>
                <w:szCs w:val="14"/>
              </w:rPr>
            </w:pPr>
          </w:p>
          <w:p w:rsidR="00EF2384" w:rsidRDefault="00EF2384" w:rsidP="00327BC7">
            <w:pPr>
              <w:jc w:val="center"/>
              <w:rPr>
                <w:b/>
                <w:bCs/>
                <w:sz w:val="14"/>
                <w:szCs w:val="14"/>
                <w:lang w:val="kk-KZ"/>
              </w:rPr>
            </w:pPr>
          </w:p>
          <w:p w:rsidR="00EF2384" w:rsidRDefault="00EF2384" w:rsidP="00327BC7">
            <w:pPr>
              <w:jc w:val="center"/>
              <w:rPr>
                <w:b/>
                <w:bCs/>
                <w:sz w:val="14"/>
                <w:szCs w:val="14"/>
                <w:lang w:val="kk-KZ"/>
              </w:rPr>
            </w:pPr>
          </w:p>
          <w:p w:rsidR="00EF2384" w:rsidRPr="003408AC" w:rsidRDefault="00EF2384" w:rsidP="00C55625">
            <w:pPr>
              <w:rPr>
                <w:b/>
                <w:bCs/>
                <w:sz w:val="14"/>
                <w:szCs w:val="14"/>
                <w:lang w:val="kk-KZ"/>
              </w:rPr>
            </w:pPr>
            <w:r>
              <w:rPr>
                <w:b/>
                <w:bCs/>
                <w:sz w:val="14"/>
                <w:szCs w:val="14"/>
                <w:lang w:val="kk-KZ"/>
              </w:rPr>
              <w:t xml:space="preserve">      </w:t>
            </w:r>
            <w:r w:rsidRPr="003408AC">
              <w:rPr>
                <w:b/>
                <w:bCs/>
                <w:sz w:val="14"/>
                <w:szCs w:val="14"/>
                <w:lang w:val="kk-KZ"/>
              </w:rPr>
              <w:t>Техникалық сипаттамасы</w:t>
            </w:r>
          </w:p>
        </w:tc>
        <w:tc>
          <w:tcPr>
            <w:tcW w:w="709" w:type="dxa"/>
            <w:shd w:val="clear" w:color="auto" w:fill="auto"/>
            <w:vAlign w:val="center"/>
          </w:tcPr>
          <w:p w:rsidR="00EF2384" w:rsidRPr="003408AC" w:rsidRDefault="00EF2384" w:rsidP="00327BC7">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EF2384" w:rsidRPr="003408AC" w:rsidRDefault="00EF2384" w:rsidP="00327BC7">
            <w:pPr>
              <w:jc w:val="center"/>
              <w:rPr>
                <w:b/>
                <w:bCs/>
                <w:sz w:val="14"/>
                <w:szCs w:val="14"/>
                <w:lang w:val="kk-KZ"/>
              </w:rPr>
            </w:pPr>
            <w:r w:rsidRPr="003408AC">
              <w:rPr>
                <w:b/>
                <w:bCs/>
                <w:sz w:val="14"/>
                <w:szCs w:val="14"/>
                <w:lang w:val="kk-KZ"/>
              </w:rPr>
              <w:t>саны</w:t>
            </w:r>
          </w:p>
        </w:tc>
        <w:tc>
          <w:tcPr>
            <w:tcW w:w="992" w:type="dxa"/>
            <w:shd w:val="clear" w:color="auto" w:fill="auto"/>
            <w:vAlign w:val="center"/>
          </w:tcPr>
          <w:p w:rsidR="00EF2384" w:rsidRPr="003408AC" w:rsidRDefault="00EF2384" w:rsidP="00327BC7">
            <w:pPr>
              <w:jc w:val="center"/>
              <w:rPr>
                <w:b/>
                <w:bCs/>
                <w:sz w:val="14"/>
                <w:szCs w:val="14"/>
                <w:lang w:val="kk-KZ"/>
              </w:rPr>
            </w:pPr>
            <w:r w:rsidRPr="003408AC">
              <w:rPr>
                <w:b/>
                <w:bCs/>
                <w:sz w:val="14"/>
                <w:szCs w:val="14"/>
                <w:lang w:val="kk-KZ"/>
              </w:rPr>
              <w:t xml:space="preserve">Бағасы </w:t>
            </w:r>
          </w:p>
        </w:tc>
        <w:tc>
          <w:tcPr>
            <w:tcW w:w="1134" w:type="dxa"/>
            <w:shd w:val="clear" w:color="auto" w:fill="auto"/>
          </w:tcPr>
          <w:p w:rsidR="00EF2384" w:rsidRPr="003408AC" w:rsidRDefault="00EF2384" w:rsidP="00327BC7">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c>
          <w:tcPr>
            <w:tcW w:w="1276" w:type="dxa"/>
            <w:vAlign w:val="center"/>
          </w:tcPr>
          <w:p w:rsidR="00EF2384" w:rsidRPr="003408AC" w:rsidRDefault="00EF2384" w:rsidP="00327BC7">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134" w:type="dxa"/>
            <w:vAlign w:val="center"/>
          </w:tcPr>
          <w:p w:rsidR="00EF2384" w:rsidRPr="003408AC" w:rsidRDefault="00EF2384" w:rsidP="00327BC7">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EF2384" w:rsidRPr="003408AC" w:rsidRDefault="00EF2384" w:rsidP="00327BC7">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709" w:type="dxa"/>
            <w:shd w:val="clear" w:color="auto" w:fill="auto"/>
            <w:vAlign w:val="center"/>
          </w:tcPr>
          <w:p w:rsidR="00EF2384" w:rsidRPr="003408AC" w:rsidRDefault="00EF2384" w:rsidP="00327BC7">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417" w:type="dxa"/>
            <w:vAlign w:val="center"/>
          </w:tcPr>
          <w:p w:rsidR="00EF2384" w:rsidRPr="003408AC" w:rsidRDefault="00EF2384" w:rsidP="00327BC7">
            <w:pPr>
              <w:jc w:val="center"/>
              <w:rPr>
                <w:b/>
                <w:bCs/>
                <w:sz w:val="14"/>
                <w:szCs w:val="14"/>
                <w:lang w:val="kk-KZ"/>
              </w:rPr>
            </w:pPr>
            <w:r w:rsidRPr="003408AC">
              <w:rPr>
                <w:b/>
                <w:bCs/>
                <w:sz w:val="14"/>
                <w:szCs w:val="14"/>
                <w:lang w:val="kk-KZ"/>
              </w:rPr>
              <w:t>Төлем</w:t>
            </w:r>
          </w:p>
        </w:tc>
      </w:tr>
      <w:tr w:rsidR="00BA385F" w:rsidRPr="00CF48FB" w:rsidTr="00BA385F">
        <w:trPr>
          <w:gridAfter w:val="5"/>
          <w:wAfter w:w="4600" w:type="dxa"/>
          <w:trHeight w:val="1048"/>
        </w:trPr>
        <w:tc>
          <w:tcPr>
            <w:tcW w:w="425" w:type="dxa"/>
            <w:shd w:val="clear" w:color="auto" w:fill="auto"/>
            <w:vAlign w:val="center"/>
          </w:tcPr>
          <w:p w:rsidR="00BA385F" w:rsidRPr="00463462" w:rsidRDefault="00BA385F" w:rsidP="00327BC7">
            <w:pPr>
              <w:rPr>
                <w:bCs/>
                <w:sz w:val="16"/>
                <w:szCs w:val="16"/>
                <w:lang w:val="kk-KZ"/>
              </w:rPr>
            </w:pPr>
            <w:r>
              <w:rPr>
                <w:bCs/>
                <w:sz w:val="16"/>
                <w:szCs w:val="16"/>
                <w:lang w:val="kk-KZ"/>
              </w:rPr>
              <w:t>1</w:t>
            </w:r>
          </w:p>
        </w:tc>
        <w:tc>
          <w:tcPr>
            <w:tcW w:w="1419" w:type="dxa"/>
            <w:vAlign w:val="center"/>
          </w:tcPr>
          <w:p w:rsidR="00BA385F" w:rsidRPr="00463462" w:rsidRDefault="00BA385F" w:rsidP="00EF238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275" w:type="dxa"/>
            <w:shd w:val="clear" w:color="auto" w:fill="auto"/>
            <w:vAlign w:val="center"/>
          </w:tcPr>
          <w:p w:rsidR="00BA385F" w:rsidRPr="00BA385F" w:rsidRDefault="00CF48FB" w:rsidP="00BA385F">
            <w:pPr>
              <w:jc w:val="center"/>
              <w:rPr>
                <w:sz w:val="16"/>
                <w:szCs w:val="16"/>
              </w:rPr>
            </w:pPr>
            <w:r>
              <w:rPr>
                <w:sz w:val="16"/>
                <w:szCs w:val="16"/>
              </w:rPr>
              <w:t>Многоразовые электрические щипцы</w:t>
            </w:r>
          </w:p>
        </w:tc>
        <w:tc>
          <w:tcPr>
            <w:tcW w:w="4111" w:type="dxa"/>
            <w:vAlign w:val="center"/>
          </w:tcPr>
          <w:p w:rsidR="00BA385F" w:rsidRPr="00BA385F" w:rsidRDefault="00CF48FB" w:rsidP="00BA385F">
            <w:pPr>
              <w:jc w:val="center"/>
              <w:rPr>
                <w:sz w:val="16"/>
                <w:szCs w:val="16"/>
              </w:rPr>
            </w:pPr>
            <w:r w:rsidRPr="00CF48FB">
              <w:rPr>
                <w:sz w:val="16"/>
                <w:szCs w:val="16"/>
              </w:rPr>
              <w:t>Многоразовые электрические щипцы</w:t>
            </w:r>
            <w:r>
              <w:rPr>
                <w:sz w:val="16"/>
                <w:szCs w:val="16"/>
              </w:rPr>
              <w:t xml:space="preserve"> для гемостаза</w:t>
            </w:r>
            <w:proofErr w:type="gramStart"/>
            <w:r>
              <w:rPr>
                <w:sz w:val="16"/>
                <w:szCs w:val="16"/>
              </w:rPr>
              <w:t>.</w:t>
            </w:r>
            <w:proofErr w:type="gramEnd"/>
            <w:r>
              <w:rPr>
                <w:sz w:val="16"/>
                <w:szCs w:val="16"/>
              </w:rPr>
              <w:t xml:space="preserve"> Длина 2400 мм, ширина раскрытия 5мм/5,5мм</w:t>
            </w:r>
          </w:p>
        </w:tc>
        <w:tc>
          <w:tcPr>
            <w:tcW w:w="709" w:type="dxa"/>
            <w:shd w:val="clear" w:color="auto" w:fill="auto"/>
            <w:vAlign w:val="center"/>
          </w:tcPr>
          <w:p w:rsidR="00BA385F" w:rsidRPr="00EF2384" w:rsidRDefault="00CF48FB" w:rsidP="00EA630A">
            <w:pPr>
              <w:jc w:val="center"/>
              <w:rPr>
                <w:bCs/>
                <w:sz w:val="16"/>
                <w:szCs w:val="16"/>
                <w:lang w:val="kk-KZ"/>
              </w:rPr>
            </w:pPr>
            <w:r>
              <w:rPr>
                <w:bCs/>
                <w:sz w:val="16"/>
                <w:szCs w:val="16"/>
                <w:lang w:val="kk-KZ"/>
              </w:rPr>
              <w:t>штука</w:t>
            </w:r>
          </w:p>
        </w:tc>
        <w:tc>
          <w:tcPr>
            <w:tcW w:w="709" w:type="dxa"/>
            <w:shd w:val="clear" w:color="auto" w:fill="auto"/>
            <w:vAlign w:val="center"/>
          </w:tcPr>
          <w:p w:rsidR="00BA385F" w:rsidRPr="003A1500" w:rsidRDefault="00CF48FB" w:rsidP="00327BC7">
            <w:pPr>
              <w:jc w:val="center"/>
              <w:rPr>
                <w:bCs/>
                <w:sz w:val="16"/>
                <w:szCs w:val="16"/>
                <w:lang w:val="kk-KZ"/>
              </w:rPr>
            </w:pPr>
            <w:r>
              <w:rPr>
                <w:bCs/>
                <w:sz w:val="16"/>
                <w:szCs w:val="16"/>
                <w:lang w:val="kk-KZ"/>
              </w:rPr>
              <w:t>1</w:t>
            </w:r>
          </w:p>
        </w:tc>
        <w:tc>
          <w:tcPr>
            <w:tcW w:w="992" w:type="dxa"/>
            <w:shd w:val="clear" w:color="auto" w:fill="auto"/>
            <w:vAlign w:val="center"/>
          </w:tcPr>
          <w:p w:rsidR="00BA385F" w:rsidRPr="003A1500" w:rsidRDefault="00CF48FB" w:rsidP="00327BC7">
            <w:pPr>
              <w:jc w:val="center"/>
              <w:rPr>
                <w:sz w:val="16"/>
                <w:szCs w:val="16"/>
                <w:lang w:val="kk-KZ"/>
              </w:rPr>
            </w:pPr>
            <w:r>
              <w:rPr>
                <w:sz w:val="16"/>
                <w:szCs w:val="16"/>
                <w:lang w:val="kk-KZ"/>
              </w:rPr>
              <w:t>250 000</w:t>
            </w:r>
          </w:p>
        </w:tc>
        <w:tc>
          <w:tcPr>
            <w:tcW w:w="1134" w:type="dxa"/>
            <w:shd w:val="clear" w:color="auto" w:fill="auto"/>
            <w:vAlign w:val="center"/>
          </w:tcPr>
          <w:p w:rsidR="00BA385F" w:rsidRPr="003A1500" w:rsidRDefault="00CF48FB" w:rsidP="00327BC7">
            <w:pPr>
              <w:jc w:val="center"/>
              <w:rPr>
                <w:sz w:val="16"/>
                <w:szCs w:val="16"/>
                <w:lang w:val="kk-KZ"/>
              </w:rPr>
            </w:pPr>
            <w:r>
              <w:rPr>
                <w:sz w:val="16"/>
                <w:szCs w:val="16"/>
                <w:lang w:val="kk-KZ"/>
              </w:rPr>
              <w:t>250 000</w:t>
            </w:r>
          </w:p>
        </w:tc>
        <w:tc>
          <w:tcPr>
            <w:tcW w:w="1276" w:type="dxa"/>
            <w:vAlign w:val="center"/>
          </w:tcPr>
          <w:p w:rsidR="00BA385F" w:rsidRDefault="00BA385F" w:rsidP="00EF2384">
            <w:pPr>
              <w:jc w:val="center"/>
              <w:rPr>
                <w:sz w:val="16"/>
                <w:szCs w:val="16"/>
                <w:lang w:val="kk-KZ"/>
              </w:rPr>
            </w:pPr>
            <w:r w:rsidRPr="003A1500">
              <w:rPr>
                <w:sz w:val="16"/>
                <w:szCs w:val="16"/>
                <w:lang w:val="kk-KZ"/>
              </w:rPr>
              <w:t>DDP</w:t>
            </w:r>
          </w:p>
          <w:p w:rsidR="00BA385F" w:rsidRPr="003A1500" w:rsidRDefault="00BA385F" w:rsidP="00327BC7">
            <w:pPr>
              <w:jc w:val="center"/>
              <w:rPr>
                <w:sz w:val="16"/>
                <w:szCs w:val="16"/>
                <w:lang w:val="kk-KZ"/>
              </w:rPr>
            </w:pPr>
          </w:p>
        </w:tc>
        <w:tc>
          <w:tcPr>
            <w:tcW w:w="1134" w:type="dxa"/>
            <w:vAlign w:val="center"/>
          </w:tcPr>
          <w:p w:rsidR="00BA385F" w:rsidRPr="003A1500" w:rsidRDefault="00BA385F" w:rsidP="0084516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92" w:type="dxa"/>
            <w:vAlign w:val="center"/>
          </w:tcPr>
          <w:p w:rsidR="00BA385F" w:rsidRDefault="00BA385F" w:rsidP="00B71987">
            <w:pPr>
              <w:jc w:val="center"/>
              <w:rPr>
                <w:sz w:val="16"/>
                <w:szCs w:val="16"/>
                <w:lang w:val="kk-KZ"/>
              </w:rPr>
            </w:pPr>
            <w:r w:rsidRPr="003A1500">
              <w:rPr>
                <w:sz w:val="16"/>
                <w:szCs w:val="16"/>
                <w:lang w:val="kk-KZ"/>
              </w:rPr>
              <w:t>Ақтөбе қаласы, Пацаева көшесі 7</w:t>
            </w:r>
          </w:p>
          <w:p w:rsidR="00BA385F" w:rsidRDefault="00BA385F" w:rsidP="00B71987">
            <w:pPr>
              <w:jc w:val="center"/>
              <w:rPr>
                <w:sz w:val="16"/>
                <w:szCs w:val="16"/>
                <w:lang w:val="kk-KZ"/>
              </w:rPr>
            </w:pPr>
          </w:p>
          <w:p w:rsidR="00BA385F" w:rsidRDefault="00BA385F" w:rsidP="00B71987">
            <w:pPr>
              <w:jc w:val="center"/>
              <w:rPr>
                <w:sz w:val="16"/>
                <w:szCs w:val="16"/>
                <w:lang w:val="kk-KZ"/>
              </w:rPr>
            </w:pPr>
          </w:p>
          <w:p w:rsidR="00BA385F" w:rsidRPr="003A1500" w:rsidRDefault="00BA385F" w:rsidP="0092000E">
            <w:pPr>
              <w:rPr>
                <w:sz w:val="16"/>
                <w:szCs w:val="16"/>
                <w:lang w:val="kk-KZ"/>
              </w:rPr>
            </w:pPr>
          </w:p>
        </w:tc>
        <w:tc>
          <w:tcPr>
            <w:tcW w:w="709" w:type="dxa"/>
            <w:shd w:val="clear" w:color="auto" w:fill="auto"/>
            <w:vAlign w:val="center"/>
          </w:tcPr>
          <w:p w:rsidR="00BA385F" w:rsidRDefault="00BA385F" w:rsidP="00EF2384">
            <w:pPr>
              <w:jc w:val="center"/>
              <w:rPr>
                <w:sz w:val="16"/>
                <w:szCs w:val="16"/>
                <w:lang w:val="kk-KZ"/>
              </w:rPr>
            </w:pPr>
            <w:r w:rsidRPr="003A1500">
              <w:rPr>
                <w:sz w:val="16"/>
                <w:szCs w:val="16"/>
                <w:lang w:val="kk-KZ"/>
              </w:rPr>
              <w:t>0</w:t>
            </w:r>
          </w:p>
          <w:p w:rsidR="00BA385F" w:rsidRPr="003A1500" w:rsidRDefault="00BA385F" w:rsidP="00327BC7">
            <w:pPr>
              <w:jc w:val="center"/>
              <w:rPr>
                <w:bCs/>
                <w:sz w:val="16"/>
                <w:szCs w:val="16"/>
                <w:lang w:val="kk-KZ"/>
              </w:rPr>
            </w:pPr>
          </w:p>
        </w:tc>
        <w:tc>
          <w:tcPr>
            <w:tcW w:w="1417" w:type="dxa"/>
          </w:tcPr>
          <w:p w:rsidR="00BA385F" w:rsidRPr="003A1500" w:rsidRDefault="00BA385F" w:rsidP="00EF2384">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r>
      <w:tr w:rsidR="00BA385F" w:rsidRPr="00CF48FB" w:rsidTr="00BA385F">
        <w:trPr>
          <w:gridAfter w:val="5"/>
          <w:wAfter w:w="4600" w:type="dxa"/>
          <w:trHeight w:val="587"/>
        </w:trPr>
        <w:tc>
          <w:tcPr>
            <w:tcW w:w="425" w:type="dxa"/>
            <w:shd w:val="clear" w:color="auto" w:fill="auto"/>
            <w:vAlign w:val="center"/>
          </w:tcPr>
          <w:p w:rsidR="00BA385F" w:rsidRDefault="00BA385F" w:rsidP="00327BC7">
            <w:pPr>
              <w:rPr>
                <w:bCs/>
                <w:sz w:val="16"/>
                <w:szCs w:val="16"/>
                <w:lang w:val="kk-KZ"/>
              </w:rPr>
            </w:pPr>
            <w:r>
              <w:rPr>
                <w:bCs/>
                <w:sz w:val="16"/>
                <w:szCs w:val="16"/>
                <w:lang w:val="kk-KZ"/>
              </w:rPr>
              <w:t>2</w:t>
            </w:r>
          </w:p>
        </w:tc>
        <w:tc>
          <w:tcPr>
            <w:tcW w:w="1419" w:type="dxa"/>
            <w:vAlign w:val="center"/>
          </w:tcPr>
          <w:p w:rsidR="00BA385F" w:rsidRPr="00EF2384" w:rsidRDefault="00BA385F" w:rsidP="00EF2384">
            <w:pPr>
              <w:jc w:val="center"/>
              <w:rPr>
                <w:lang w:val="kk-KZ"/>
              </w:rPr>
            </w:pPr>
            <w:r w:rsidRPr="00BE2AC6">
              <w:rPr>
                <w:sz w:val="16"/>
                <w:szCs w:val="16"/>
                <w:lang w:val="kk-KZ"/>
              </w:rPr>
              <w:t>Шаруашылық жүргізу құқығындағы «Көпсалалы облыстық аурухана» МКК</w:t>
            </w:r>
          </w:p>
        </w:tc>
        <w:tc>
          <w:tcPr>
            <w:tcW w:w="1275" w:type="dxa"/>
            <w:shd w:val="clear" w:color="auto" w:fill="auto"/>
            <w:vAlign w:val="center"/>
          </w:tcPr>
          <w:p w:rsidR="00BA385F" w:rsidRPr="00BA385F" w:rsidRDefault="00CF48FB" w:rsidP="00BA385F">
            <w:pPr>
              <w:tabs>
                <w:tab w:val="left" w:pos="1236"/>
              </w:tabs>
              <w:jc w:val="center"/>
              <w:rPr>
                <w:sz w:val="16"/>
                <w:szCs w:val="16"/>
              </w:rPr>
            </w:pPr>
            <w:r w:rsidRPr="00CF48FB">
              <w:rPr>
                <w:sz w:val="16"/>
                <w:szCs w:val="16"/>
              </w:rPr>
              <w:t>Многоразовые</w:t>
            </w:r>
            <w:r>
              <w:rPr>
                <w:sz w:val="16"/>
                <w:szCs w:val="16"/>
              </w:rPr>
              <w:t xml:space="preserve"> </w:t>
            </w:r>
            <w:r w:rsidRPr="00CF48FB">
              <w:rPr>
                <w:sz w:val="16"/>
                <w:szCs w:val="16"/>
              </w:rPr>
              <w:t>щипцы</w:t>
            </w:r>
          </w:p>
        </w:tc>
        <w:tc>
          <w:tcPr>
            <w:tcW w:w="4111" w:type="dxa"/>
            <w:vAlign w:val="center"/>
          </w:tcPr>
          <w:p w:rsidR="00BA385F" w:rsidRPr="00BA385F" w:rsidRDefault="00CF48FB" w:rsidP="00BA385F">
            <w:pPr>
              <w:tabs>
                <w:tab w:val="left" w:pos="1236"/>
              </w:tabs>
              <w:jc w:val="center"/>
              <w:rPr>
                <w:sz w:val="16"/>
                <w:szCs w:val="16"/>
              </w:rPr>
            </w:pPr>
            <w:r w:rsidRPr="00CF48FB">
              <w:rPr>
                <w:sz w:val="16"/>
                <w:szCs w:val="16"/>
              </w:rPr>
              <w:t>Многоразовые щипцы</w:t>
            </w:r>
            <w:r>
              <w:rPr>
                <w:sz w:val="16"/>
                <w:szCs w:val="16"/>
              </w:rPr>
              <w:t xml:space="preserve"> для биопсии (стандартного типа, вращающиеся), длина 2400мм, ширина раскрытия 5мм/5,5мм</w:t>
            </w:r>
          </w:p>
        </w:tc>
        <w:tc>
          <w:tcPr>
            <w:tcW w:w="709" w:type="dxa"/>
            <w:shd w:val="clear" w:color="auto" w:fill="auto"/>
            <w:vAlign w:val="center"/>
          </w:tcPr>
          <w:p w:rsidR="00BA385F" w:rsidRPr="00EF2384" w:rsidRDefault="00CF48FB" w:rsidP="00243B12">
            <w:pPr>
              <w:jc w:val="center"/>
              <w:rPr>
                <w:bCs/>
                <w:sz w:val="16"/>
                <w:szCs w:val="16"/>
                <w:lang w:val="kk-KZ"/>
              </w:rPr>
            </w:pPr>
            <w:r>
              <w:rPr>
                <w:bCs/>
                <w:sz w:val="16"/>
                <w:szCs w:val="16"/>
                <w:lang w:val="kk-KZ"/>
              </w:rPr>
              <w:t>штука</w:t>
            </w:r>
          </w:p>
        </w:tc>
        <w:tc>
          <w:tcPr>
            <w:tcW w:w="709" w:type="dxa"/>
            <w:shd w:val="clear" w:color="auto" w:fill="auto"/>
            <w:vAlign w:val="center"/>
          </w:tcPr>
          <w:p w:rsidR="00BA385F" w:rsidRDefault="00CF48FB" w:rsidP="00327BC7">
            <w:pPr>
              <w:jc w:val="center"/>
              <w:rPr>
                <w:bCs/>
                <w:sz w:val="16"/>
                <w:szCs w:val="16"/>
                <w:lang w:val="kk-KZ"/>
              </w:rPr>
            </w:pPr>
            <w:r>
              <w:rPr>
                <w:bCs/>
                <w:sz w:val="16"/>
                <w:szCs w:val="16"/>
                <w:lang w:val="kk-KZ"/>
              </w:rPr>
              <w:t>1</w:t>
            </w:r>
          </w:p>
        </w:tc>
        <w:tc>
          <w:tcPr>
            <w:tcW w:w="992" w:type="dxa"/>
            <w:shd w:val="clear" w:color="auto" w:fill="auto"/>
            <w:vAlign w:val="center"/>
          </w:tcPr>
          <w:p w:rsidR="00BA385F" w:rsidRPr="003A1500" w:rsidRDefault="00CF48FB" w:rsidP="00327BC7">
            <w:pPr>
              <w:jc w:val="center"/>
              <w:rPr>
                <w:sz w:val="16"/>
                <w:szCs w:val="16"/>
                <w:lang w:val="kk-KZ"/>
              </w:rPr>
            </w:pPr>
            <w:r>
              <w:rPr>
                <w:sz w:val="16"/>
                <w:szCs w:val="16"/>
                <w:lang w:val="kk-KZ"/>
              </w:rPr>
              <w:t>285 000</w:t>
            </w:r>
          </w:p>
        </w:tc>
        <w:tc>
          <w:tcPr>
            <w:tcW w:w="1134" w:type="dxa"/>
            <w:shd w:val="clear" w:color="auto" w:fill="auto"/>
            <w:vAlign w:val="center"/>
          </w:tcPr>
          <w:p w:rsidR="00BA385F" w:rsidRPr="003A1500" w:rsidRDefault="00CF48FB" w:rsidP="00327BC7">
            <w:pPr>
              <w:jc w:val="center"/>
              <w:rPr>
                <w:sz w:val="16"/>
                <w:szCs w:val="16"/>
                <w:lang w:val="kk-KZ"/>
              </w:rPr>
            </w:pPr>
            <w:r>
              <w:rPr>
                <w:sz w:val="16"/>
                <w:szCs w:val="16"/>
                <w:lang w:val="kk-KZ"/>
              </w:rPr>
              <w:t>285 000</w:t>
            </w:r>
          </w:p>
        </w:tc>
        <w:tc>
          <w:tcPr>
            <w:tcW w:w="1276" w:type="dxa"/>
            <w:vAlign w:val="center"/>
          </w:tcPr>
          <w:p w:rsidR="00BA385F" w:rsidRDefault="00BA385F" w:rsidP="00327BC7">
            <w:pPr>
              <w:jc w:val="center"/>
              <w:rPr>
                <w:sz w:val="16"/>
                <w:szCs w:val="16"/>
                <w:lang w:val="kk-KZ"/>
              </w:rPr>
            </w:pPr>
            <w:r w:rsidRPr="003A1500">
              <w:rPr>
                <w:sz w:val="16"/>
                <w:szCs w:val="16"/>
                <w:lang w:val="kk-KZ"/>
              </w:rPr>
              <w:t>DDP</w:t>
            </w:r>
          </w:p>
          <w:p w:rsidR="00BA385F" w:rsidRPr="003A1500" w:rsidRDefault="00BA385F" w:rsidP="00327BC7">
            <w:pPr>
              <w:jc w:val="center"/>
              <w:rPr>
                <w:sz w:val="16"/>
                <w:szCs w:val="16"/>
                <w:lang w:val="kk-KZ"/>
              </w:rPr>
            </w:pPr>
          </w:p>
        </w:tc>
        <w:tc>
          <w:tcPr>
            <w:tcW w:w="1134" w:type="dxa"/>
            <w:vAlign w:val="center"/>
          </w:tcPr>
          <w:p w:rsidR="00BA385F" w:rsidRPr="003A1500" w:rsidRDefault="00BA385F" w:rsidP="0092000E">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92" w:type="dxa"/>
            <w:vAlign w:val="center"/>
          </w:tcPr>
          <w:p w:rsidR="00BA385F" w:rsidRDefault="00BA385F" w:rsidP="00B71987">
            <w:pPr>
              <w:jc w:val="center"/>
              <w:rPr>
                <w:sz w:val="16"/>
                <w:szCs w:val="16"/>
                <w:lang w:val="kk-KZ"/>
              </w:rPr>
            </w:pPr>
            <w:r w:rsidRPr="003A1500">
              <w:rPr>
                <w:sz w:val="16"/>
                <w:szCs w:val="16"/>
                <w:lang w:val="kk-KZ"/>
              </w:rPr>
              <w:t>Ақтөбе қаласы, Пацаева көшесі 7</w:t>
            </w:r>
          </w:p>
          <w:p w:rsidR="00BA385F" w:rsidRDefault="00BA385F" w:rsidP="00B71987">
            <w:pPr>
              <w:jc w:val="center"/>
              <w:rPr>
                <w:sz w:val="16"/>
                <w:szCs w:val="16"/>
                <w:lang w:val="kk-KZ"/>
              </w:rPr>
            </w:pPr>
          </w:p>
          <w:p w:rsidR="00BA385F" w:rsidRDefault="00BA385F" w:rsidP="00B71987">
            <w:pPr>
              <w:jc w:val="center"/>
              <w:rPr>
                <w:sz w:val="16"/>
                <w:szCs w:val="16"/>
                <w:lang w:val="kk-KZ"/>
              </w:rPr>
            </w:pPr>
          </w:p>
          <w:p w:rsidR="00BA385F" w:rsidRPr="003A1500" w:rsidRDefault="00BA385F" w:rsidP="0092000E">
            <w:pPr>
              <w:rPr>
                <w:sz w:val="16"/>
                <w:szCs w:val="16"/>
                <w:lang w:val="kk-KZ"/>
              </w:rPr>
            </w:pPr>
          </w:p>
        </w:tc>
        <w:tc>
          <w:tcPr>
            <w:tcW w:w="709" w:type="dxa"/>
            <w:shd w:val="clear" w:color="auto" w:fill="auto"/>
            <w:vAlign w:val="center"/>
          </w:tcPr>
          <w:p w:rsidR="00BA385F" w:rsidRDefault="00BA385F" w:rsidP="00327BC7">
            <w:pPr>
              <w:jc w:val="center"/>
              <w:rPr>
                <w:sz w:val="16"/>
                <w:szCs w:val="16"/>
                <w:lang w:val="kk-KZ"/>
              </w:rPr>
            </w:pPr>
            <w:r w:rsidRPr="003A1500">
              <w:rPr>
                <w:sz w:val="16"/>
                <w:szCs w:val="16"/>
                <w:lang w:val="kk-KZ"/>
              </w:rPr>
              <w:t>0</w:t>
            </w:r>
          </w:p>
          <w:p w:rsidR="00BA385F" w:rsidRPr="003A1500" w:rsidRDefault="00BA385F" w:rsidP="00327BC7">
            <w:pPr>
              <w:jc w:val="center"/>
              <w:rPr>
                <w:bCs/>
                <w:sz w:val="16"/>
                <w:szCs w:val="16"/>
                <w:lang w:val="kk-KZ"/>
              </w:rPr>
            </w:pPr>
          </w:p>
        </w:tc>
        <w:tc>
          <w:tcPr>
            <w:tcW w:w="1417" w:type="dxa"/>
          </w:tcPr>
          <w:p w:rsidR="00BA385F" w:rsidRPr="003A1500" w:rsidRDefault="00BA385F" w:rsidP="0092000E">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r>
      <w:tr w:rsidR="00B71987" w:rsidRPr="00C347D9" w:rsidTr="00CF48FB">
        <w:trPr>
          <w:trHeight w:val="90"/>
        </w:trPr>
        <w:tc>
          <w:tcPr>
            <w:tcW w:w="3119" w:type="dxa"/>
            <w:gridSpan w:val="3"/>
            <w:shd w:val="clear" w:color="auto" w:fill="auto"/>
            <w:vAlign w:val="center"/>
          </w:tcPr>
          <w:p w:rsidR="00B71987" w:rsidRPr="00CC0BFD" w:rsidRDefault="00B71987" w:rsidP="00327BC7">
            <w:pPr>
              <w:rPr>
                <w:sz w:val="28"/>
                <w:szCs w:val="28"/>
                <w:lang w:val="kk-KZ"/>
              </w:rPr>
            </w:pPr>
            <w:bookmarkStart w:id="0" w:name="_GoBack"/>
            <w:bookmarkEnd w:id="0"/>
            <w:r w:rsidRPr="00823FE0">
              <w:rPr>
                <w:b/>
                <w:bCs/>
                <w:sz w:val="16"/>
                <w:szCs w:val="16"/>
                <w:lang w:val="kk-KZ"/>
              </w:rPr>
              <w:t>ИТОГО</w:t>
            </w:r>
          </w:p>
        </w:tc>
        <w:tc>
          <w:tcPr>
            <w:tcW w:w="13183" w:type="dxa"/>
            <w:gridSpan w:val="10"/>
            <w:shd w:val="clear" w:color="auto" w:fill="auto"/>
            <w:vAlign w:val="center"/>
          </w:tcPr>
          <w:p w:rsidR="00B71987" w:rsidRDefault="00B71987" w:rsidP="0092000E">
            <w:pPr>
              <w:rPr>
                <w:b/>
                <w:bCs/>
                <w:sz w:val="16"/>
                <w:szCs w:val="16"/>
                <w:lang w:val="kk-KZ"/>
              </w:rPr>
            </w:pPr>
          </w:p>
          <w:p w:rsidR="00B71987" w:rsidRPr="0092000E" w:rsidRDefault="009A29B4" w:rsidP="0092000E">
            <w:pPr>
              <w:jc w:val="center"/>
              <w:rPr>
                <w:b/>
                <w:sz w:val="20"/>
                <w:szCs w:val="20"/>
              </w:rPr>
            </w:pPr>
            <w:r>
              <w:rPr>
                <w:b/>
                <w:sz w:val="20"/>
                <w:szCs w:val="20"/>
              </w:rPr>
              <w:t>535 000</w:t>
            </w:r>
          </w:p>
        </w:tc>
        <w:tc>
          <w:tcPr>
            <w:tcW w:w="671" w:type="dxa"/>
            <w:tcBorders>
              <w:top w:val="nil"/>
              <w:bottom w:val="nil"/>
            </w:tcBorders>
          </w:tcPr>
          <w:p w:rsidR="00B71987" w:rsidRPr="00C347D9" w:rsidRDefault="00B71987" w:rsidP="00327BC7">
            <w:pPr>
              <w:rPr>
                <w:lang w:val="kk-KZ"/>
              </w:rPr>
            </w:pPr>
          </w:p>
        </w:tc>
        <w:tc>
          <w:tcPr>
            <w:tcW w:w="982" w:type="dxa"/>
          </w:tcPr>
          <w:p w:rsidR="00B71987" w:rsidRPr="00C347D9" w:rsidRDefault="00B71987" w:rsidP="00327BC7">
            <w:pPr>
              <w:rPr>
                <w:lang w:val="kk-KZ"/>
              </w:rPr>
            </w:pPr>
          </w:p>
        </w:tc>
        <w:tc>
          <w:tcPr>
            <w:tcW w:w="982" w:type="dxa"/>
          </w:tcPr>
          <w:p w:rsidR="00B71987" w:rsidRPr="00C347D9" w:rsidRDefault="00B71987" w:rsidP="00327BC7">
            <w:pPr>
              <w:rPr>
                <w:lang w:val="kk-KZ"/>
              </w:rPr>
            </w:pPr>
          </w:p>
        </w:tc>
        <w:tc>
          <w:tcPr>
            <w:tcW w:w="983" w:type="dxa"/>
          </w:tcPr>
          <w:p w:rsidR="00B71987" w:rsidRPr="00C347D9" w:rsidRDefault="00B71987" w:rsidP="00327BC7">
            <w:pPr>
              <w:rPr>
                <w:lang w:val="kk-KZ"/>
              </w:rPr>
            </w:pPr>
          </w:p>
        </w:tc>
        <w:tc>
          <w:tcPr>
            <w:tcW w:w="982" w:type="dxa"/>
            <w:vAlign w:val="center"/>
          </w:tcPr>
          <w:p w:rsidR="00B71987" w:rsidRPr="00132AEB" w:rsidRDefault="00B71987" w:rsidP="00327BC7">
            <w:pPr>
              <w:jc w:val="center"/>
              <w:rPr>
                <w:sz w:val="16"/>
                <w:szCs w:val="16"/>
                <w:lang w:val="kk-KZ"/>
              </w:rPr>
            </w:pPr>
            <w:r w:rsidRPr="00132AEB">
              <w:rPr>
                <w:sz w:val="16"/>
                <w:szCs w:val="16"/>
                <w:lang w:val="kk-KZ"/>
              </w:rPr>
              <w:t>Ақтөбе қаласы, Пацаева көшесі 7</w:t>
            </w:r>
          </w:p>
        </w:tc>
      </w:tr>
    </w:tbl>
    <w:p w:rsidR="00716FF0" w:rsidRPr="00AF6026" w:rsidRDefault="00716FF0" w:rsidP="00716FF0">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716FF0" w:rsidRPr="00AF6026" w:rsidRDefault="00716FF0" w:rsidP="00716FF0">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Pr="00AF6026">
        <w:rPr>
          <w:sz w:val="18"/>
          <w:szCs w:val="18"/>
          <w:u w:val="single"/>
          <w:lang w:val="kk-KZ"/>
        </w:rPr>
        <w:tab/>
      </w:r>
    </w:p>
    <w:p w:rsidR="00716FF0" w:rsidRPr="00AF6026" w:rsidRDefault="00716FF0" w:rsidP="00716FF0">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716FF0" w:rsidRPr="00AF6026" w:rsidRDefault="00716FF0" w:rsidP="00716FF0">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Қағидалардың 3-тарауында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ұсыныстарын берудің соңғы мерзімі сағат 10.00-ге дейін</w:t>
      </w:r>
      <w:r w:rsidR="0008799A">
        <w:rPr>
          <w:color w:val="auto"/>
          <w:sz w:val="18"/>
          <w:szCs w:val="18"/>
          <w:lang w:val="kk-KZ"/>
        </w:rPr>
        <w:t xml:space="preserve"> (Ақтөбе қ. уақыты бойынша) 2025</w:t>
      </w:r>
      <w:r w:rsidRPr="00AF6026">
        <w:rPr>
          <w:color w:val="auto"/>
          <w:sz w:val="18"/>
          <w:szCs w:val="18"/>
          <w:lang w:val="kk-KZ"/>
        </w:rPr>
        <w:t xml:space="preserve"> жылдың </w:t>
      </w:r>
      <w:r w:rsidR="00DA2719">
        <w:rPr>
          <w:color w:val="auto"/>
          <w:sz w:val="18"/>
          <w:szCs w:val="18"/>
          <w:lang w:val="kk-KZ"/>
        </w:rPr>
        <w:t>05</w:t>
      </w:r>
      <w:r w:rsidR="0008799A">
        <w:rPr>
          <w:color w:val="auto"/>
          <w:sz w:val="18"/>
          <w:szCs w:val="18"/>
          <w:lang w:val="kk-KZ"/>
        </w:rPr>
        <w:t xml:space="preserve"> қаңтар</w:t>
      </w:r>
      <w:r w:rsidRPr="00AF6026">
        <w:rPr>
          <w:color w:val="auto"/>
          <w:sz w:val="18"/>
          <w:szCs w:val="18"/>
          <w:lang w:val="kk-KZ"/>
        </w:rPr>
        <w:t xml:space="preserve"> күніне дейін келесі мекен-жай бойынша: Ақтөбе қ., Пацаев к-сі, 7, №1 кабинет.</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ұсыныстары бар конверттер сағат 11.00 - де (Ақтөбе қ.уақыты бойынша) 202</w:t>
      </w:r>
      <w:r w:rsidR="007647E0">
        <w:rPr>
          <w:color w:val="auto"/>
          <w:sz w:val="18"/>
          <w:szCs w:val="18"/>
          <w:lang w:val="kk-KZ"/>
        </w:rPr>
        <w:t>5</w:t>
      </w:r>
      <w:r w:rsidRPr="00AF6026">
        <w:rPr>
          <w:color w:val="auto"/>
          <w:sz w:val="18"/>
          <w:szCs w:val="18"/>
          <w:lang w:val="kk-KZ"/>
        </w:rPr>
        <w:t xml:space="preserve"> жылдың </w:t>
      </w:r>
      <w:r w:rsidR="00DA2719">
        <w:rPr>
          <w:color w:val="auto"/>
          <w:sz w:val="18"/>
          <w:szCs w:val="18"/>
          <w:lang w:val="kk-KZ"/>
        </w:rPr>
        <w:t>05</w:t>
      </w:r>
      <w:r w:rsidR="0008799A">
        <w:rPr>
          <w:color w:val="auto"/>
          <w:sz w:val="18"/>
          <w:szCs w:val="18"/>
          <w:lang w:val="kk-KZ"/>
        </w:rPr>
        <w:t xml:space="preserve"> қаңтар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716FF0" w:rsidRPr="00AF6026" w:rsidRDefault="00716FF0" w:rsidP="00716FF0">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 xml:space="preserve">: </w:t>
      </w:r>
      <w:r w:rsidRPr="00AF6026">
        <w:rPr>
          <w:b/>
          <w:color w:val="auto"/>
          <w:sz w:val="18"/>
          <w:szCs w:val="18"/>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716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16ACF"/>
    <w:rsid w:val="00075BA5"/>
    <w:rsid w:val="0008799A"/>
    <w:rsid w:val="000C398A"/>
    <w:rsid w:val="0012725B"/>
    <w:rsid w:val="00164072"/>
    <w:rsid w:val="00175D68"/>
    <w:rsid w:val="001B39DB"/>
    <w:rsid w:val="001D0253"/>
    <w:rsid w:val="002143BF"/>
    <w:rsid w:val="00243B12"/>
    <w:rsid w:val="002858A7"/>
    <w:rsid w:val="0029418B"/>
    <w:rsid w:val="002B524C"/>
    <w:rsid w:val="00327BC7"/>
    <w:rsid w:val="00334298"/>
    <w:rsid w:val="003A1B54"/>
    <w:rsid w:val="003E11BD"/>
    <w:rsid w:val="003E5332"/>
    <w:rsid w:val="00463854"/>
    <w:rsid w:val="004A5D05"/>
    <w:rsid w:val="004C7699"/>
    <w:rsid w:val="004D5A15"/>
    <w:rsid w:val="004D7810"/>
    <w:rsid w:val="005212F5"/>
    <w:rsid w:val="005F25FE"/>
    <w:rsid w:val="00622319"/>
    <w:rsid w:val="0065399A"/>
    <w:rsid w:val="00667C83"/>
    <w:rsid w:val="006A5FE7"/>
    <w:rsid w:val="006C407B"/>
    <w:rsid w:val="006D0B14"/>
    <w:rsid w:val="006F1E93"/>
    <w:rsid w:val="00716FF0"/>
    <w:rsid w:val="007647E0"/>
    <w:rsid w:val="00770152"/>
    <w:rsid w:val="00783A25"/>
    <w:rsid w:val="007955B2"/>
    <w:rsid w:val="007C050A"/>
    <w:rsid w:val="00831E63"/>
    <w:rsid w:val="00845168"/>
    <w:rsid w:val="00855889"/>
    <w:rsid w:val="0092000E"/>
    <w:rsid w:val="00921D7F"/>
    <w:rsid w:val="00927B8D"/>
    <w:rsid w:val="009439FD"/>
    <w:rsid w:val="009A29B4"/>
    <w:rsid w:val="009C65B8"/>
    <w:rsid w:val="009D32C5"/>
    <w:rsid w:val="00A06121"/>
    <w:rsid w:val="00A15135"/>
    <w:rsid w:val="00A638A2"/>
    <w:rsid w:val="00AA3946"/>
    <w:rsid w:val="00AA57E8"/>
    <w:rsid w:val="00B36E22"/>
    <w:rsid w:val="00B52CD9"/>
    <w:rsid w:val="00B71987"/>
    <w:rsid w:val="00B7462F"/>
    <w:rsid w:val="00B84D82"/>
    <w:rsid w:val="00BA385F"/>
    <w:rsid w:val="00BC5490"/>
    <w:rsid w:val="00BD1907"/>
    <w:rsid w:val="00BE71DE"/>
    <w:rsid w:val="00C06195"/>
    <w:rsid w:val="00C20A86"/>
    <w:rsid w:val="00C55625"/>
    <w:rsid w:val="00CE7AAD"/>
    <w:rsid w:val="00CF48FB"/>
    <w:rsid w:val="00D05A4B"/>
    <w:rsid w:val="00D20428"/>
    <w:rsid w:val="00D837D1"/>
    <w:rsid w:val="00DA2719"/>
    <w:rsid w:val="00DB0848"/>
    <w:rsid w:val="00E04B28"/>
    <w:rsid w:val="00E6045F"/>
    <w:rsid w:val="00E82BB3"/>
    <w:rsid w:val="00E970DA"/>
    <w:rsid w:val="00EA630A"/>
    <w:rsid w:val="00EC5754"/>
    <w:rsid w:val="00EF2384"/>
    <w:rsid w:val="00F31A42"/>
    <w:rsid w:val="00F3566A"/>
    <w:rsid w:val="00F63476"/>
    <w:rsid w:val="00F71C59"/>
    <w:rsid w:val="00FA3791"/>
    <w:rsid w:val="00FE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C15E-17BD-422F-A47B-862D1669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17</cp:revision>
  <cp:lastPrinted>2024-12-27T05:09:00Z</cp:lastPrinted>
  <dcterms:created xsi:type="dcterms:W3CDTF">2024-12-10T12:01:00Z</dcterms:created>
  <dcterms:modified xsi:type="dcterms:W3CDTF">2024-12-27T05:19:00Z</dcterms:modified>
</cp:coreProperties>
</file>